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epriedas"/>
        <w:tblpPr w:leftFromText="181" w:rightFromText="181" w:vertAnchor="page" w:horzAnchor="page" w:tblpY="1"/>
        <w:tblW w:w="12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44D"/>
        <w:tblLook w:val="04A0" w:firstRow="1" w:lastRow="0" w:firstColumn="1" w:lastColumn="0" w:noHBand="0" w:noVBand="1"/>
      </w:tblPr>
      <w:tblGrid>
        <w:gridCol w:w="1560"/>
        <w:gridCol w:w="4450"/>
        <w:gridCol w:w="4905"/>
        <w:gridCol w:w="1105"/>
      </w:tblGrid>
      <w:tr w:rsidR="005D468F" w:rsidRPr="002C7441" w14:paraId="38A1EFEF" w14:textId="77777777" w:rsidTr="008A4A2E">
        <w:trPr>
          <w:cnfStyle w:val="100000000000" w:firstRow="1" w:lastRow="0" w:firstColumn="0" w:lastColumn="0" w:oddVBand="0" w:evenVBand="0" w:oddHBand="0" w:evenHBand="0" w:firstRowFirstColumn="0" w:firstRowLastColumn="0" w:lastRowFirstColumn="0" w:lastRowLastColumn="0"/>
          <w:trHeight w:hRule="exact" w:val="284"/>
        </w:trPr>
        <w:tc>
          <w:tcPr>
            <w:tcW w:w="6010" w:type="dxa"/>
            <w:gridSpan w:val="2"/>
            <w:shd w:val="clear" w:color="auto" w:fill="192850"/>
          </w:tcPr>
          <w:p w14:paraId="7F7A04FE" w14:textId="77777777" w:rsidR="005D468F" w:rsidRPr="002C7441" w:rsidRDefault="005D468F" w:rsidP="008A4A2E">
            <w:pPr>
              <w:rPr>
                <w:rFonts w:ascii="Fira Sans Book" w:hAnsi="Fira Sans Book" w:cs="Segoe UI"/>
                <w:sz w:val="20"/>
              </w:rPr>
            </w:pPr>
            <w:bookmarkStart w:id="0" w:name="_Toc134709433"/>
            <w:bookmarkStart w:id="1" w:name="_Toc94259984"/>
            <w:bookmarkStart w:id="2" w:name="_Toc94785820"/>
            <w:bookmarkStart w:id="3" w:name="_Toc137214262"/>
            <w:bookmarkStart w:id="4" w:name="_Toc145341803"/>
            <w:bookmarkStart w:id="5" w:name="_Toc145341851"/>
            <w:bookmarkStart w:id="6" w:name="_Toc145410400"/>
          </w:p>
        </w:tc>
        <w:tc>
          <w:tcPr>
            <w:tcW w:w="6010" w:type="dxa"/>
            <w:gridSpan w:val="2"/>
            <w:shd w:val="clear" w:color="auto" w:fill="1469AA"/>
          </w:tcPr>
          <w:p w14:paraId="071E835B" w14:textId="77777777" w:rsidR="005D468F" w:rsidRPr="002C7441" w:rsidRDefault="005D468F" w:rsidP="008A4A2E">
            <w:pPr>
              <w:rPr>
                <w:rFonts w:ascii="Fira Sans Book" w:hAnsi="Fira Sans Book" w:cs="Segoe UI"/>
                <w:sz w:val="20"/>
              </w:rPr>
            </w:pPr>
          </w:p>
        </w:tc>
      </w:tr>
      <w:tr w:rsidR="005D468F" w:rsidRPr="002C7441" w14:paraId="105EEDC5" w14:textId="77777777" w:rsidTr="00054259">
        <w:trPr>
          <w:gridAfter w:val="1"/>
          <w:wAfter w:w="1105" w:type="dxa"/>
          <w:trHeight w:hRule="exact" w:val="297"/>
        </w:trPr>
        <w:tc>
          <w:tcPr>
            <w:tcW w:w="1560" w:type="dxa"/>
            <w:shd w:val="clear" w:color="auto" w:fill="auto"/>
          </w:tcPr>
          <w:p w14:paraId="377E6E4E" w14:textId="77777777" w:rsidR="005D468F" w:rsidRPr="002C7441" w:rsidRDefault="005D468F" w:rsidP="008A4A2E">
            <w:pPr>
              <w:rPr>
                <w:rFonts w:ascii="Fira Sans Book" w:hAnsi="Fira Sans Book" w:cs="Segoe UI"/>
                <w:sz w:val="20"/>
              </w:rPr>
            </w:pPr>
          </w:p>
        </w:tc>
        <w:tc>
          <w:tcPr>
            <w:tcW w:w="9355" w:type="dxa"/>
            <w:gridSpan w:val="2"/>
            <w:shd w:val="clear" w:color="auto" w:fill="auto"/>
            <w:vAlign w:val="bottom"/>
          </w:tcPr>
          <w:p w14:paraId="085A6EF2" w14:textId="685FA34B" w:rsidR="005D468F" w:rsidRPr="002C7441" w:rsidRDefault="005D468F" w:rsidP="008A4A2E">
            <w:pPr>
              <w:spacing w:after="60"/>
              <w:rPr>
                <w:rFonts w:ascii="Fira Sans Book" w:hAnsi="Fira Sans Book" w:cs="Segoe UI"/>
                <w:sz w:val="20"/>
              </w:rPr>
            </w:pPr>
          </w:p>
        </w:tc>
      </w:tr>
      <w:tr w:rsidR="005D468F" w:rsidRPr="002C7441" w14:paraId="3B678F91" w14:textId="77777777" w:rsidTr="008A4A2E">
        <w:trPr>
          <w:gridAfter w:val="1"/>
          <w:wAfter w:w="1105" w:type="dxa"/>
          <w:trHeight w:val="851"/>
        </w:trPr>
        <w:tc>
          <w:tcPr>
            <w:tcW w:w="1560" w:type="dxa"/>
            <w:shd w:val="clear" w:color="auto" w:fill="auto"/>
          </w:tcPr>
          <w:p w14:paraId="24D4465B" w14:textId="77777777" w:rsidR="005D468F" w:rsidRPr="002C7441" w:rsidRDefault="005D468F" w:rsidP="008A4A2E">
            <w:pPr>
              <w:rPr>
                <w:rFonts w:ascii="Fira Sans Book" w:hAnsi="Fira Sans Book" w:cs="Segoe UI"/>
                <w:sz w:val="20"/>
              </w:rPr>
            </w:pPr>
          </w:p>
        </w:tc>
        <w:tc>
          <w:tcPr>
            <w:tcW w:w="9355" w:type="dxa"/>
            <w:gridSpan w:val="2"/>
            <w:shd w:val="clear" w:color="auto" w:fill="auto"/>
          </w:tcPr>
          <w:p w14:paraId="7E9BD5D7" w14:textId="1350DDD0" w:rsidR="005D468F" w:rsidRPr="002C7441" w:rsidRDefault="00381213" w:rsidP="008A4A2E">
            <w:pPr>
              <w:spacing w:before="480" w:after="120" w:line="288" w:lineRule="auto"/>
              <w:rPr>
                <w:rFonts w:ascii="Fira Sans SemiBold" w:hAnsi="Fira Sans SemiBold" w:cs="Segoe UI"/>
                <w:caps/>
                <w:sz w:val="28"/>
                <w:szCs w:val="28"/>
              </w:rPr>
            </w:pPr>
            <w:r w:rsidRPr="002C7441">
              <w:rPr>
                <w:rFonts w:ascii="Fira Sans Book" w:hAnsi="Fira Sans Book" w:cs="Segoe UI"/>
                <w:noProof/>
                <w:sz w:val="20"/>
              </w:rPr>
              <w:drawing>
                <wp:inline distT="0" distB="0" distL="0" distR="0" wp14:anchorId="205A2A37" wp14:editId="3E12358E">
                  <wp:extent cx="1438275" cy="733425"/>
                  <wp:effectExtent l="0" t="0" r="9525" b="9525"/>
                  <wp:docPr id="2" name="Grafinis element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_valstybinis_auditas.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38275" cy="733425"/>
                          </a:xfrm>
                          <a:prstGeom prst="rect">
                            <a:avLst/>
                          </a:prstGeom>
                        </pic:spPr>
                      </pic:pic>
                    </a:graphicData>
                  </a:graphic>
                </wp:inline>
              </w:drawing>
            </w:r>
          </w:p>
        </w:tc>
      </w:tr>
      <w:bookmarkEnd w:id="0"/>
    </w:tbl>
    <w:p w14:paraId="0EFB8E43" w14:textId="28150B6D" w:rsidR="005D468F" w:rsidRPr="00651EEE" w:rsidRDefault="005D468F" w:rsidP="005D468F">
      <w:pPr>
        <w:spacing w:after="240" w:line="240" w:lineRule="auto"/>
        <w:rPr>
          <w:rFonts w:ascii="Fira Sans" w:eastAsiaTheme="minorEastAsia" w:hAnsi="Fira Sans" w:cs="Times New Roman"/>
          <w:color w:val="192850"/>
          <w:kern w:val="0"/>
          <w:sz w:val="26"/>
          <w:szCs w:val="26"/>
          <w:lang w:eastAsia="lt-LT"/>
          <w14:ligatures w14:val="none"/>
        </w:rPr>
      </w:pPr>
    </w:p>
    <w:p w14:paraId="76E8E6D5" w14:textId="5FEC6234" w:rsidR="00762D55" w:rsidRPr="009269AE" w:rsidRDefault="00762D55" w:rsidP="009269AE">
      <w:pPr>
        <w:pStyle w:val="Priedopavadinimas"/>
        <w:rPr>
          <w:rFonts w:ascii="Fira Sans SemiBold" w:hAnsi="Fira Sans SemiBold" w:cs="Times New Roman"/>
          <w:caps/>
          <w:color w:val="000000"/>
          <w:sz w:val="28"/>
          <w:szCs w:val="28"/>
        </w:rPr>
      </w:pPr>
      <w:bookmarkStart w:id="7" w:name="_Toc190244000"/>
      <w:bookmarkStart w:id="8" w:name="_Toc190244123"/>
      <w:bookmarkStart w:id="9" w:name="_Toc190244228"/>
      <w:bookmarkStart w:id="10" w:name="_Toc190244282"/>
      <w:bookmarkStart w:id="11" w:name="_Toc190244409"/>
      <w:bookmarkStart w:id="12" w:name="_Toc190244545"/>
      <w:bookmarkStart w:id="13" w:name="_Toc190245402"/>
      <w:bookmarkStart w:id="14" w:name="_Toc190246383"/>
      <w:bookmarkStart w:id="15" w:name="_Toc190246757"/>
      <w:bookmarkStart w:id="16" w:name="_Toc190248000"/>
      <w:bookmarkStart w:id="17" w:name="_Toc190253071"/>
      <w:bookmarkStart w:id="18" w:name="_Toc190253131"/>
      <w:bookmarkStart w:id="19" w:name="_Toc194593517"/>
      <w:bookmarkEnd w:id="1"/>
      <w:bookmarkEnd w:id="2"/>
      <w:bookmarkEnd w:id="3"/>
      <w:bookmarkEnd w:id="4"/>
      <w:bookmarkEnd w:id="5"/>
      <w:bookmarkEnd w:id="6"/>
      <w:r w:rsidRPr="00762D55">
        <w:rPr>
          <w:rFonts w:ascii="Fira Sans SemiBold" w:hAnsi="Fira Sans SemiBold" w:cs="Times New Roman"/>
          <w:caps/>
          <w:color w:val="000000"/>
          <w:sz w:val="28"/>
          <w:szCs w:val="28"/>
        </w:rPr>
        <w:t>Kompiuterizuotos audito priemonės (CAAT)</w:t>
      </w:r>
      <w:bookmarkEnd w:id="7"/>
      <w:bookmarkEnd w:id="8"/>
      <w:bookmarkEnd w:id="9"/>
      <w:bookmarkEnd w:id="10"/>
      <w:bookmarkEnd w:id="11"/>
      <w:bookmarkEnd w:id="12"/>
      <w:bookmarkEnd w:id="13"/>
      <w:bookmarkEnd w:id="14"/>
      <w:bookmarkEnd w:id="15"/>
      <w:bookmarkEnd w:id="16"/>
      <w:bookmarkEnd w:id="17"/>
      <w:bookmarkEnd w:id="18"/>
      <w:bookmarkEnd w:id="19"/>
    </w:p>
    <w:p w14:paraId="34FDAE0C" w14:textId="77777777" w:rsidR="009C5C7A" w:rsidRPr="002B6AA5" w:rsidRDefault="009C5C7A" w:rsidP="009C5C7A">
      <w:pPr>
        <w:spacing w:before="200" w:after="200"/>
        <w:jc w:val="both"/>
        <w:rPr>
          <w:rFonts w:ascii="Fira Sans Light" w:hAnsi="Fira Sans Light"/>
        </w:rPr>
      </w:pPr>
      <w:bookmarkStart w:id="20" w:name="_Toc94193828"/>
      <w:bookmarkStart w:id="21" w:name="_Toc94194032"/>
      <w:bookmarkStart w:id="22" w:name="_Toc94194539"/>
      <w:bookmarkStart w:id="23" w:name="_Toc94194684"/>
      <w:bookmarkStart w:id="24" w:name="_Toc94194829"/>
      <w:bookmarkStart w:id="25" w:name="_Toc94194971"/>
      <w:bookmarkStart w:id="26" w:name="_Toc94195108"/>
      <w:bookmarkStart w:id="27" w:name="_Toc94195180"/>
      <w:bookmarkStart w:id="28" w:name="_Toc94195246"/>
      <w:r w:rsidRPr="002B6AA5">
        <w:rPr>
          <w:rFonts w:ascii="Fira Sans Light" w:hAnsi="Fira Sans Light"/>
        </w:rPr>
        <w:t xml:space="preserve">CAAT yra IT priemonės, padedančios auditoriui atlikti įvairius automatizuotus, detaliuosius testus ir įvertinti IT sistemą, </w:t>
      </w:r>
      <w:r>
        <w:rPr>
          <w:rFonts w:ascii="Fira Sans Light" w:hAnsi="Fira Sans Light"/>
        </w:rPr>
        <w:t xml:space="preserve">kontrolės priemones </w:t>
      </w:r>
      <w:r w:rsidRPr="002B6AA5">
        <w:rPr>
          <w:rFonts w:ascii="Fira Sans Light" w:hAnsi="Fira Sans Light"/>
        </w:rPr>
        <w:t>arba duomenis. Jos labai naudingos, jeigu didelė dalis audituojamo subjekto duomenų yra prieinami elektroniniu formatu. CAAT nauda:</w:t>
      </w:r>
      <w:bookmarkEnd w:id="20"/>
      <w:bookmarkEnd w:id="21"/>
      <w:bookmarkEnd w:id="22"/>
      <w:bookmarkEnd w:id="23"/>
      <w:bookmarkEnd w:id="24"/>
      <w:bookmarkEnd w:id="25"/>
      <w:bookmarkEnd w:id="26"/>
      <w:bookmarkEnd w:id="27"/>
      <w:bookmarkEnd w:id="28"/>
      <w:r w:rsidRPr="002B6AA5">
        <w:rPr>
          <w:rFonts w:ascii="Fira Sans Light" w:hAnsi="Fira Sans Light"/>
        </w:rPr>
        <w:t xml:space="preserve"> </w:t>
      </w:r>
    </w:p>
    <w:p w14:paraId="030AC773" w14:textId="77777777" w:rsidR="009C5C7A" w:rsidRPr="00E74F1A" w:rsidRDefault="009C5C7A" w:rsidP="009C5C7A">
      <w:pPr>
        <w:pStyle w:val="Punktas1"/>
        <w:spacing w:before="120"/>
        <w:ind w:left="921" w:hanging="360"/>
        <w:rPr>
          <w:spacing w:val="-6"/>
        </w:rPr>
      </w:pPr>
      <w:r w:rsidRPr="00E74F1A">
        <w:rPr>
          <w:spacing w:val="-6"/>
        </w:rPr>
        <w:t xml:space="preserve">didelių apimčių duomenų detalųjį testavimą ir analizę galima atlikti greičiau ir paprasčiau; </w:t>
      </w:r>
    </w:p>
    <w:p w14:paraId="4F922606" w14:textId="77777777" w:rsidR="009C5C7A" w:rsidRPr="002B6AA5" w:rsidRDefault="009C5C7A" w:rsidP="009C5C7A">
      <w:pPr>
        <w:pStyle w:val="Punktas1"/>
        <w:spacing w:before="120"/>
        <w:ind w:left="921" w:hanging="360"/>
      </w:pPr>
      <w:r w:rsidRPr="002B6AA5">
        <w:t xml:space="preserve">testus galima lengvai pakartoti su skirtingais failais ar duomenimis; </w:t>
      </w:r>
    </w:p>
    <w:p w14:paraId="34C98435" w14:textId="77777777" w:rsidR="009C5C7A" w:rsidRPr="002B6AA5" w:rsidRDefault="009C5C7A" w:rsidP="009C5C7A">
      <w:pPr>
        <w:pStyle w:val="Punktas1"/>
        <w:spacing w:before="120"/>
        <w:ind w:left="921" w:hanging="360"/>
      </w:pPr>
      <w:r w:rsidRPr="002B6AA5">
        <w:t xml:space="preserve">keičiant parametrus galima parengti lanksčius ir sudėtingus testus; </w:t>
      </w:r>
    </w:p>
    <w:p w14:paraId="31E1AF6F" w14:textId="77777777" w:rsidR="009C5C7A" w:rsidRPr="002B6AA5" w:rsidRDefault="009C5C7A" w:rsidP="009C5C7A">
      <w:pPr>
        <w:pStyle w:val="Punktas1"/>
        <w:spacing w:before="120"/>
        <w:ind w:left="921" w:hanging="360"/>
      </w:pPr>
      <w:r w:rsidRPr="002B6AA5">
        <w:t xml:space="preserve">audito testai ir jų rezultatai dokumentuojami automatiškai; </w:t>
      </w:r>
    </w:p>
    <w:p w14:paraId="3A14086C" w14:textId="77777777" w:rsidR="009C5C7A" w:rsidRPr="002B6AA5" w:rsidRDefault="009C5C7A" w:rsidP="009C5C7A">
      <w:pPr>
        <w:pStyle w:val="Punktas1"/>
        <w:spacing w:before="120"/>
        <w:ind w:left="921" w:hanging="360"/>
      </w:pPr>
      <w:r w:rsidRPr="002B6AA5">
        <w:t xml:space="preserve">efektyviau naudojami audito ištekliai. </w:t>
      </w:r>
    </w:p>
    <w:p w14:paraId="2D93DB92" w14:textId="77777777" w:rsidR="009C5C7A" w:rsidRPr="002B6AA5" w:rsidRDefault="009C5C7A" w:rsidP="009C5C7A">
      <w:pPr>
        <w:spacing w:before="200" w:after="200"/>
        <w:jc w:val="both"/>
        <w:rPr>
          <w:rFonts w:ascii="Fira Sans Light" w:hAnsi="Fira Sans Light"/>
        </w:rPr>
      </w:pPr>
      <w:bookmarkStart w:id="29" w:name="_Toc94193829"/>
      <w:bookmarkStart w:id="30" w:name="_Toc94194033"/>
      <w:bookmarkStart w:id="31" w:name="_Toc94194540"/>
      <w:bookmarkStart w:id="32" w:name="_Toc94194685"/>
      <w:bookmarkStart w:id="33" w:name="_Toc94194830"/>
      <w:bookmarkStart w:id="34" w:name="_Toc94194972"/>
      <w:bookmarkStart w:id="35" w:name="_Toc94195109"/>
      <w:bookmarkStart w:id="36" w:name="_Toc94195181"/>
      <w:bookmarkStart w:id="37" w:name="_Toc94195247"/>
      <w:r w:rsidRPr="002B6AA5">
        <w:rPr>
          <w:rFonts w:ascii="Fira Sans Light" w:hAnsi="Fira Sans Light"/>
        </w:rPr>
        <w:t>Naudojant CAAT atsiranda išlaidų, susijusių su licencijuota programine įranga, suderinama technine įranga ir kvalifikuoto audito personalo darbu. Todėl sprendžiant, ar atliekant IT auditą naudoti CAAT, reikia atsakyti į šiuos klausimus:</w:t>
      </w:r>
      <w:bookmarkEnd w:id="29"/>
      <w:bookmarkEnd w:id="30"/>
      <w:bookmarkEnd w:id="31"/>
      <w:bookmarkEnd w:id="32"/>
      <w:bookmarkEnd w:id="33"/>
      <w:bookmarkEnd w:id="34"/>
      <w:bookmarkEnd w:id="35"/>
      <w:bookmarkEnd w:id="36"/>
      <w:bookmarkEnd w:id="37"/>
      <w:r w:rsidRPr="002B6AA5">
        <w:rPr>
          <w:rFonts w:ascii="Fira Sans Light" w:hAnsi="Fira Sans Light"/>
        </w:rPr>
        <w:t xml:space="preserve"> </w:t>
      </w:r>
    </w:p>
    <w:p w14:paraId="1C5B3CB1" w14:textId="77777777" w:rsidR="009C5C7A" w:rsidRPr="002B6AA5" w:rsidRDefault="009C5C7A" w:rsidP="009C5C7A">
      <w:pPr>
        <w:pStyle w:val="Punktas1"/>
        <w:spacing w:before="120"/>
        <w:ind w:left="921" w:hanging="360"/>
      </w:pPr>
      <w:r w:rsidRPr="002B6AA5">
        <w:t>ar CAAT naudojimas suteikia auditui papildomą vertę</w:t>
      </w:r>
      <w:r>
        <w:t>;</w:t>
      </w:r>
    </w:p>
    <w:p w14:paraId="7334252B" w14:textId="77777777" w:rsidR="009C5C7A" w:rsidRPr="002B6AA5" w:rsidRDefault="009C5C7A" w:rsidP="009C5C7A">
      <w:pPr>
        <w:pStyle w:val="Punktas1"/>
        <w:spacing w:before="120"/>
        <w:ind w:left="921" w:hanging="360"/>
      </w:pPr>
      <w:r w:rsidRPr="002B6AA5">
        <w:t xml:space="preserve">ar testai bus naudojami kituose </w:t>
      </w:r>
      <w:r>
        <w:t>arba</w:t>
      </w:r>
      <w:r w:rsidRPr="002B6AA5">
        <w:t xml:space="preserve"> ateities audituose audituojant tą patį arba kitą veiklos pobūdžiu ir veikla panašų subjektą</w:t>
      </w:r>
      <w:r>
        <w:t>;</w:t>
      </w:r>
    </w:p>
    <w:p w14:paraId="3282DEC7" w14:textId="77777777" w:rsidR="009C5C7A" w:rsidRPr="002B6AA5" w:rsidRDefault="009C5C7A" w:rsidP="009C5C7A">
      <w:pPr>
        <w:pStyle w:val="Punktas1"/>
        <w:spacing w:before="120"/>
        <w:ind w:left="921" w:hanging="360"/>
      </w:pPr>
      <w:r w:rsidRPr="002B6AA5">
        <w:t>ar operacijos apdorojamos internetu (</w:t>
      </w:r>
      <w:proofErr w:type="spellStart"/>
      <w:r w:rsidRPr="00E74F1A">
        <w:rPr>
          <w:i/>
          <w:iCs/>
        </w:rPr>
        <w:t>on</w:t>
      </w:r>
      <w:proofErr w:type="spellEnd"/>
      <w:r w:rsidRPr="00E74F1A">
        <w:rPr>
          <w:i/>
          <w:iCs/>
        </w:rPr>
        <w:t>-line</w:t>
      </w:r>
      <w:r w:rsidRPr="002B6AA5">
        <w:t>) ir (arba) realiu laiku</w:t>
      </w:r>
      <w:r>
        <w:t>;</w:t>
      </w:r>
    </w:p>
    <w:p w14:paraId="61A95162" w14:textId="77777777" w:rsidR="009C5C7A" w:rsidRPr="00E74F1A" w:rsidRDefault="009C5C7A" w:rsidP="009C5C7A">
      <w:pPr>
        <w:pStyle w:val="Punktas1"/>
        <w:spacing w:before="120"/>
        <w:ind w:left="921" w:hanging="360"/>
        <w:rPr>
          <w:rFonts w:cs="Times New Roman"/>
          <w:color w:val="auto"/>
          <w:spacing w:val="-6"/>
        </w:rPr>
      </w:pPr>
      <w:r w:rsidRPr="00E74F1A">
        <w:rPr>
          <w:spacing w:val="-6"/>
        </w:rPr>
        <w:t>ar kitų audito metodų naudojimas lems didesnes išlaidas ir papildomą auditui skirtą laiką.</w:t>
      </w:r>
    </w:p>
    <w:p w14:paraId="37A3F551" w14:textId="77777777" w:rsidR="009C5C7A" w:rsidRPr="002B6AA5" w:rsidRDefault="009C5C7A" w:rsidP="009C5C7A">
      <w:pPr>
        <w:spacing w:before="200" w:after="200"/>
        <w:jc w:val="both"/>
        <w:rPr>
          <w:rFonts w:ascii="Fira Sans Light" w:hAnsi="Fira Sans Light"/>
        </w:rPr>
      </w:pPr>
      <w:bookmarkStart w:id="38" w:name="_Toc94193830"/>
      <w:bookmarkStart w:id="39" w:name="_Toc94194034"/>
      <w:bookmarkStart w:id="40" w:name="_Toc94194541"/>
      <w:bookmarkStart w:id="41" w:name="_Toc94194686"/>
      <w:bookmarkStart w:id="42" w:name="_Toc94194831"/>
      <w:bookmarkStart w:id="43" w:name="_Toc94194973"/>
      <w:bookmarkStart w:id="44" w:name="_Toc94195110"/>
      <w:bookmarkStart w:id="45" w:name="_Toc94195182"/>
      <w:bookmarkStart w:id="46" w:name="_Toc94195248"/>
      <w:r w:rsidRPr="002B6AA5">
        <w:rPr>
          <w:rFonts w:ascii="Fira Sans Light" w:hAnsi="Fira Sans Light"/>
        </w:rPr>
        <w:t>Žinomų CAAT pavyzdžiai:</w:t>
      </w:r>
      <w:bookmarkEnd w:id="38"/>
      <w:bookmarkEnd w:id="39"/>
      <w:bookmarkEnd w:id="40"/>
      <w:bookmarkEnd w:id="41"/>
      <w:bookmarkEnd w:id="42"/>
      <w:bookmarkEnd w:id="43"/>
      <w:bookmarkEnd w:id="44"/>
      <w:bookmarkEnd w:id="45"/>
      <w:bookmarkEnd w:id="46"/>
      <w:r w:rsidRPr="002B6AA5">
        <w:rPr>
          <w:rFonts w:ascii="Fira Sans Light" w:hAnsi="Fira Sans Light"/>
        </w:rPr>
        <w:t xml:space="preserve"> </w:t>
      </w:r>
    </w:p>
    <w:p w14:paraId="280700AA" w14:textId="77777777" w:rsidR="009C5C7A" w:rsidRPr="00E74F1A" w:rsidRDefault="009C5C7A" w:rsidP="009C5C7A">
      <w:pPr>
        <w:pStyle w:val="Punktas1"/>
        <w:spacing w:before="120"/>
        <w:ind w:left="921" w:hanging="360"/>
        <w:rPr>
          <w:spacing w:val="-4"/>
        </w:rPr>
      </w:pPr>
      <w:r w:rsidRPr="00E74F1A">
        <w:rPr>
          <w:spacing w:val="-4"/>
        </w:rPr>
        <w:t xml:space="preserve">bendrosios paskirties audito programinė įranga kuriama taip, kad atitiktų specifinius auditorių reikalavimus. Į ją įeina įprasti testai, kuriuos atlieka IT auditą vykdantys </w:t>
      </w:r>
      <w:r w:rsidRPr="00E74F1A">
        <w:rPr>
          <w:spacing w:val="-6"/>
        </w:rPr>
        <w:t>auditoriai, ir bendrosios funkcijos, pvz., duomenų gavybos (</w:t>
      </w:r>
      <w:r w:rsidRPr="00E74F1A">
        <w:rPr>
          <w:iCs/>
          <w:spacing w:val="-6"/>
        </w:rPr>
        <w:t>angl</w:t>
      </w:r>
      <w:r w:rsidRPr="00E74F1A">
        <w:rPr>
          <w:i/>
          <w:spacing w:val="-6"/>
        </w:rPr>
        <w:t xml:space="preserve">. </w:t>
      </w:r>
      <w:proofErr w:type="spellStart"/>
      <w:r w:rsidRPr="00E74F1A">
        <w:rPr>
          <w:i/>
          <w:spacing w:val="-6"/>
        </w:rPr>
        <w:t>extraction</w:t>
      </w:r>
      <w:proofErr w:type="spellEnd"/>
      <w:r w:rsidRPr="00E74F1A">
        <w:rPr>
          <w:spacing w:val="-6"/>
        </w:rPr>
        <w:t>), apibendrinimo</w:t>
      </w:r>
      <w:r w:rsidRPr="00E74F1A">
        <w:rPr>
          <w:spacing w:val="-4"/>
        </w:rPr>
        <w:t xml:space="preserve">, pasenusių duomenų identifikavimo, stratifikacijos, dublikatų tikrinimo ir t. t.; </w:t>
      </w:r>
    </w:p>
    <w:p w14:paraId="2FB1443D" w14:textId="77777777" w:rsidR="009C5C7A" w:rsidRPr="002B6AA5" w:rsidRDefault="009C5C7A" w:rsidP="009C5C7A">
      <w:pPr>
        <w:pStyle w:val="Punktas1"/>
        <w:spacing w:before="120"/>
        <w:ind w:left="921" w:hanging="360"/>
      </w:pPr>
      <w:r w:rsidRPr="002B6AA5">
        <w:t>duomenų gavybos (</w:t>
      </w:r>
      <w:r w:rsidRPr="002B6AA5">
        <w:rPr>
          <w:iCs/>
        </w:rPr>
        <w:t>angl</w:t>
      </w:r>
      <w:r w:rsidRPr="002B6AA5">
        <w:rPr>
          <w:i/>
        </w:rPr>
        <w:t xml:space="preserve">. data </w:t>
      </w:r>
      <w:proofErr w:type="spellStart"/>
      <w:r w:rsidRPr="002B6AA5">
        <w:rPr>
          <w:i/>
        </w:rPr>
        <w:t>mining</w:t>
      </w:r>
      <w:proofErr w:type="spellEnd"/>
      <w:r w:rsidRPr="002B6AA5">
        <w:t xml:space="preserve">) įrankiai padeda atrasti struktūras dideliuose duomenų rinkiniuose, išgauti informaciją iš </w:t>
      </w:r>
      <w:r>
        <w:t>šių</w:t>
      </w:r>
      <w:r w:rsidRPr="002B6AA5">
        <w:t xml:space="preserve"> rinkinių ir konvertuoti ją į suprantamą struktūrą tolesniam naudojimui per duomenų vizualizaciją; </w:t>
      </w:r>
    </w:p>
    <w:p w14:paraId="3E93A0C4" w14:textId="77777777" w:rsidR="009C5C7A" w:rsidRPr="002B6AA5" w:rsidRDefault="009C5C7A" w:rsidP="009C5C7A">
      <w:pPr>
        <w:pStyle w:val="Punktas1"/>
        <w:spacing w:before="120"/>
        <w:ind w:left="921" w:hanging="360"/>
      </w:pPr>
      <w:r w:rsidRPr="002B6AA5">
        <w:t>konkrečiai pramonės šakai skirta audito programinė įranga kuriama siekiant tokio funkcionalumo, kuris padėtų vykdyti bendras audito funkcijas, susijusias su konkrečiomis pramonės šakomis. T. y., panaudojama specifinė pramonės šakos logika kuriant audito užklausas ir t.</w:t>
      </w:r>
      <w:r>
        <w:t xml:space="preserve"> </w:t>
      </w:r>
      <w:r w:rsidRPr="002B6AA5">
        <w:t>t. Tokia programinė įranga naudojama pramonės šakose, kuriose veiklos procesai yra gerai dokumentuoti ir nusistovėję, pvz.</w:t>
      </w:r>
      <w:r>
        <w:t>:</w:t>
      </w:r>
      <w:r w:rsidRPr="002B6AA5">
        <w:t xml:space="preserve"> bankininkystės, gamybos, naftos ir dujų, krovinių gabenimo ir kitose; </w:t>
      </w:r>
    </w:p>
    <w:p w14:paraId="408B596B" w14:textId="77777777" w:rsidR="009C5C7A" w:rsidRPr="00E74F1A" w:rsidRDefault="009C5C7A" w:rsidP="009C5C7A">
      <w:pPr>
        <w:pStyle w:val="Punktas1"/>
        <w:spacing w:before="120"/>
        <w:ind w:left="921" w:hanging="360"/>
        <w:rPr>
          <w:spacing w:val="-4"/>
        </w:rPr>
      </w:pPr>
      <w:r w:rsidRPr="00E74F1A">
        <w:rPr>
          <w:spacing w:val="-4"/>
        </w:rPr>
        <w:t>paslaugų (</w:t>
      </w:r>
      <w:r w:rsidRPr="00E74F1A">
        <w:rPr>
          <w:iCs/>
          <w:spacing w:val="-4"/>
        </w:rPr>
        <w:t>angl</w:t>
      </w:r>
      <w:r w:rsidRPr="00E74F1A">
        <w:rPr>
          <w:i/>
          <w:spacing w:val="-4"/>
        </w:rPr>
        <w:t xml:space="preserve">. </w:t>
      </w:r>
      <w:proofErr w:type="spellStart"/>
      <w:r w:rsidRPr="00E74F1A">
        <w:rPr>
          <w:i/>
          <w:spacing w:val="-4"/>
        </w:rPr>
        <w:t>Utility</w:t>
      </w:r>
      <w:proofErr w:type="spellEnd"/>
      <w:r w:rsidRPr="00E74F1A">
        <w:rPr>
          <w:spacing w:val="-4"/>
        </w:rPr>
        <w:t xml:space="preserve">) programos atlieka funkcijas, skirtas padėti analizuoti, konfigūruoti, optimizuoti ar palaikyti IT infrastruktūrą. Pagrindiniai su auditu susijusių paslaugų programų pavyzdžiai, be kita ko, </w:t>
      </w:r>
      <w:r w:rsidRPr="00E74F1A">
        <w:rPr>
          <w:spacing w:val="-4"/>
        </w:rPr>
        <w:lastRenderedPageBreak/>
        <w:t>yra versijų kontrolės paslaugų programos, klaidų paieškos programos (</w:t>
      </w:r>
      <w:r w:rsidRPr="00E74F1A">
        <w:rPr>
          <w:iCs/>
          <w:spacing w:val="-4"/>
        </w:rPr>
        <w:t>angl</w:t>
      </w:r>
      <w:r w:rsidRPr="00E74F1A">
        <w:rPr>
          <w:i/>
          <w:spacing w:val="-4"/>
        </w:rPr>
        <w:t xml:space="preserve">. </w:t>
      </w:r>
      <w:proofErr w:type="spellStart"/>
      <w:r w:rsidRPr="00E74F1A">
        <w:rPr>
          <w:i/>
          <w:spacing w:val="-4"/>
        </w:rPr>
        <w:t>debuggers</w:t>
      </w:r>
      <w:proofErr w:type="spellEnd"/>
      <w:r w:rsidRPr="00E74F1A">
        <w:rPr>
          <w:spacing w:val="-4"/>
        </w:rPr>
        <w:t>), disko vietos analizatoriai, failų valdymo</w:t>
      </w:r>
      <w:r>
        <w:rPr>
          <w:spacing w:val="-4"/>
        </w:rPr>
        <w:t xml:space="preserve"> bei</w:t>
      </w:r>
      <w:r w:rsidRPr="00E74F1A">
        <w:rPr>
          <w:spacing w:val="-4"/>
        </w:rPr>
        <w:t xml:space="preserve"> tinklo paslaugų valdymo ir sistemos aplinkos (</w:t>
      </w:r>
      <w:r w:rsidRPr="00E74F1A">
        <w:rPr>
          <w:iCs/>
          <w:spacing w:val="-4"/>
        </w:rPr>
        <w:t>angl</w:t>
      </w:r>
      <w:r w:rsidRPr="00E74F1A">
        <w:rPr>
          <w:i/>
          <w:spacing w:val="-4"/>
        </w:rPr>
        <w:t xml:space="preserve">. </w:t>
      </w:r>
      <w:proofErr w:type="spellStart"/>
      <w:r w:rsidRPr="00E74F1A">
        <w:rPr>
          <w:i/>
          <w:spacing w:val="-4"/>
        </w:rPr>
        <w:t>system</w:t>
      </w:r>
      <w:proofErr w:type="spellEnd"/>
      <w:r w:rsidRPr="00E74F1A">
        <w:rPr>
          <w:i/>
          <w:spacing w:val="-4"/>
        </w:rPr>
        <w:t xml:space="preserve"> </w:t>
      </w:r>
      <w:proofErr w:type="spellStart"/>
      <w:r w:rsidRPr="00E74F1A">
        <w:rPr>
          <w:i/>
          <w:spacing w:val="-4"/>
        </w:rPr>
        <w:t>profilers</w:t>
      </w:r>
      <w:proofErr w:type="spellEnd"/>
      <w:r w:rsidRPr="00E74F1A">
        <w:rPr>
          <w:spacing w:val="-4"/>
        </w:rPr>
        <w:t xml:space="preserve">) programos; </w:t>
      </w:r>
    </w:p>
    <w:p w14:paraId="3CF22C06" w14:textId="77777777" w:rsidR="009C5C7A" w:rsidRPr="002B6AA5" w:rsidRDefault="009C5C7A" w:rsidP="009C5C7A">
      <w:pPr>
        <w:pStyle w:val="Punktas1"/>
        <w:spacing w:before="120"/>
        <w:ind w:left="921" w:hanging="360"/>
      </w:pPr>
      <w:r w:rsidRPr="002B6AA5">
        <w:t>gerai išvystytose sistemose integruoti audito moduliai (specializuota audito programinė įranga), kuriantys standartizuotas ir specializuotas ataskaitas. Šios funkcijos integruotos į įmonės išteklių planavimo (</w:t>
      </w:r>
      <w:r w:rsidRPr="002B6AA5">
        <w:rPr>
          <w:iCs/>
        </w:rPr>
        <w:t>angl</w:t>
      </w:r>
      <w:r w:rsidRPr="002B6AA5">
        <w:rPr>
          <w:i/>
        </w:rPr>
        <w:t xml:space="preserve">. </w:t>
      </w:r>
      <w:proofErr w:type="spellStart"/>
      <w:r w:rsidRPr="002B6AA5">
        <w:rPr>
          <w:i/>
        </w:rPr>
        <w:t>Enterprise</w:t>
      </w:r>
      <w:proofErr w:type="spellEnd"/>
      <w:r w:rsidRPr="002B6AA5">
        <w:rPr>
          <w:i/>
        </w:rPr>
        <w:t xml:space="preserve"> </w:t>
      </w:r>
      <w:proofErr w:type="spellStart"/>
      <w:r w:rsidRPr="002B6AA5">
        <w:rPr>
          <w:i/>
        </w:rPr>
        <w:t>Resource</w:t>
      </w:r>
      <w:proofErr w:type="spellEnd"/>
      <w:r w:rsidRPr="002B6AA5">
        <w:rPr>
          <w:i/>
        </w:rPr>
        <w:t xml:space="preserve"> </w:t>
      </w:r>
      <w:proofErr w:type="spellStart"/>
      <w:r w:rsidRPr="002B6AA5">
        <w:rPr>
          <w:i/>
        </w:rPr>
        <w:t>Planning</w:t>
      </w:r>
      <w:proofErr w:type="spellEnd"/>
      <w:r w:rsidRPr="002B6AA5">
        <w:rPr>
          <w:i/>
        </w:rPr>
        <w:t>; ERP</w:t>
      </w:r>
      <w:r w:rsidRPr="002B6AA5">
        <w:t>) programas. Be to, egzistuoja standartinė programinė įranga, kuri suteikia IT auditoriams prieigą prie ERP duomenų su skaitymo teisėmis per sąsaja grįstas programas;</w:t>
      </w:r>
    </w:p>
    <w:p w14:paraId="318FA6F7" w14:textId="77777777" w:rsidR="009C5C7A" w:rsidRPr="002B6AA5" w:rsidRDefault="009C5C7A" w:rsidP="009C5C7A">
      <w:pPr>
        <w:pStyle w:val="Punktas1"/>
        <w:spacing w:before="120"/>
        <w:ind w:left="921" w:hanging="360"/>
      </w:pPr>
      <w:r w:rsidRPr="002B6AA5">
        <w:t xml:space="preserve">duomenų analizės įrankiai, kurie leidžia įkelti, tvarkyti, transformuoti gautus duomenų rinkinius ir juos įvairiai analizuoti, rašyti duomenų analizės </w:t>
      </w:r>
      <w:proofErr w:type="spellStart"/>
      <w:r w:rsidRPr="002B6AA5">
        <w:t>skriptus</w:t>
      </w:r>
      <w:proofErr w:type="spellEnd"/>
      <w:r w:rsidRPr="002B6AA5">
        <w:t xml:space="preserve">, pateikti įvairius grafikus ir formuoti analizės ataskaitas; </w:t>
      </w:r>
    </w:p>
    <w:p w14:paraId="6F0521D4" w14:textId="77777777" w:rsidR="009C5C7A" w:rsidRPr="002B6AA5" w:rsidRDefault="009C5C7A" w:rsidP="009C5C7A">
      <w:pPr>
        <w:pStyle w:val="Punktas1"/>
        <w:spacing w:before="120"/>
        <w:ind w:left="921" w:hanging="360"/>
      </w:pPr>
      <w:r w:rsidRPr="002B6AA5">
        <w:t>saugumo analizės įrankiai – tai platus priemonių rinkinys, kuris apima tinklo analizės įrankius, pažeidžiamumo vertinimo priemones, taikomųjų programų saugumo analizės įrankius, pan. Šie įrankiai sudaro prielaidas nustatyti saugumo rizikas, turimus saugumo trūkumus ir pažeidžiamumus;</w:t>
      </w:r>
    </w:p>
    <w:p w14:paraId="32EFA286" w14:textId="77777777" w:rsidR="009C5C7A" w:rsidRPr="002B6AA5" w:rsidRDefault="009C5C7A" w:rsidP="009C5C7A">
      <w:pPr>
        <w:pStyle w:val="Punktas1"/>
        <w:spacing w:before="120"/>
        <w:ind w:left="921" w:hanging="360"/>
      </w:pPr>
      <w:r w:rsidRPr="002B6AA5">
        <w:t>kiti įrankiai, kurie gali būti naudingi audito metu, pvz.</w:t>
      </w:r>
      <w:r>
        <w:t>:</w:t>
      </w:r>
      <w:r w:rsidRPr="002B6AA5">
        <w:t xml:space="preserve"> braižyti procesus, leidžiantys daryti duomenų ekstrakcijas, atlikti teksto kokybinę analizę, leidžiantys daryti transkripcijas, apibendrinti ir kitaip analizuoti skirtingo formato tekstinius failus, vaizdus, garso ar </w:t>
      </w:r>
      <w:r>
        <w:t>vaizdo</w:t>
      </w:r>
      <w:r w:rsidRPr="002B6AA5">
        <w:t xml:space="preserve"> įrašus.</w:t>
      </w:r>
    </w:p>
    <w:p w14:paraId="2E3AC6B9" w14:textId="77777777" w:rsidR="009C5C7A" w:rsidRPr="002B6AA5" w:rsidRDefault="009C5C7A" w:rsidP="009C5C7A">
      <w:pPr>
        <w:pStyle w:val="Tekstas"/>
        <w:rPr>
          <w:color w:val="000000"/>
        </w:rPr>
      </w:pPr>
      <w:bookmarkStart w:id="47" w:name="_Toc94193831"/>
      <w:bookmarkStart w:id="48" w:name="_Toc94194035"/>
      <w:bookmarkStart w:id="49" w:name="_Toc94194542"/>
      <w:bookmarkStart w:id="50" w:name="_Toc94194687"/>
      <w:bookmarkStart w:id="51" w:name="_Toc94194832"/>
      <w:bookmarkStart w:id="52" w:name="_Toc94194974"/>
      <w:bookmarkStart w:id="53" w:name="_Toc94195111"/>
      <w:bookmarkStart w:id="54" w:name="_Toc94195183"/>
      <w:bookmarkStart w:id="55" w:name="_Toc94195249"/>
      <w:r w:rsidRPr="002B6AA5">
        <w:rPr>
          <w:color w:val="000000"/>
        </w:rPr>
        <w:t xml:space="preserve">Auditorius, norintis naudoti CAAT priemones konkrečios srities auditui atlikti, turėtų turėti pakankamai žinių ir kompetencijos naudotis atitinkamomis CAAT priemonėmis. Prieš pradedant auditą su duomenų analizei skirtomis CAAT priemonėmis svarbu suprasti ir gauti informaciją apie subjekto turimus duomenis, lentelių ar failų ryšius, duomenų bazių žodyną, duomenų dydį </w:t>
      </w:r>
      <w:r>
        <w:rPr>
          <w:color w:val="000000"/>
        </w:rPr>
        <w:t>arba</w:t>
      </w:r>
      <w:r w:rsidRPr="002B6AA5">
        <w:rPr>
          <w:color w:val="000000"/>
        </w:rPr>
        <w:t xml:space="preserve"> formatą, kitą reikiamą informaciją.</w:t>
      </w:r>
      <w:bookmarkEnd w:id="47"/>
      <w:bookmarkEnd w:id="48"/>
      <w:bookmarkEnd w:id="49"/>
      <w:bookmarkEnd w:id="50"/>
      <w:bookmarkEnd w:id="51"/>
      <w:bookmarkEnd w:id="52"/>
      <w:bookmarkEnd w:id="53"/>
      <w:bookmarkEnd w:id="54"/>
      <w:bookmarkEnd w:id="55"/>
      <w:r w:rsidRPr="002B6AA5">
        <w:rPr>
          <w:color w:val="000000"/>
        </w:rPr>
        <w:t xml:space="preserve"> </w:t>
      </w:r>
    </w:p>
    <w:p w14:paraId="1FE66B18" w14:textId="77777777" w:rsidR="009C5C7A" w:rsidRPr="002B6AA5" w:rsidRDefault="009C5C7A" w:rsidP="009C5C7A">
      <w:pPr>
        <w:pStyle w:val="Tekstas"/>
        <w:rPr>
          <w:color w:val="000000"/>
        </w:rPr>
      </w:pPr>
      <w:r w:rsidRPr="002B6AA5">
        <w:rPr>
          <w:color w:val="000000"/>
        </w:rPr>
        <w:t xml:space="preserve">Naudojant CAAT priemones gali būti naudojami tęstiniai duomenys, </w:t>
      </w:r>
      <w:r>
        <w:rPr>
          <w:color w:val="000000"/>
        </w:rPr>
        <w:t>pvz.,</w:t>
      </w:r>
      <w:r w:rsidRPr="002B6AA5">
        <w:rPr>
          <w:color w:val="000000"/>
        </w:rPr>
        <w:t xml:space="preserve"> tikrinant įdiegtų </w:t>
      </w:r>
      <w:r w:rsidRPr="002B6AA5">
        <w:t xml:space="preserve">kontrolės priemonių </w:t>
      </w:r>
      <w:r w:rsidRPr="002B6AA5">
        <w:rPr>
          <w:color w:val="000000"/>
        </w:rPr>
        <w:t>tinkamumą. Svarbu turėti aktualius ir reikiamos apimties tęstinius duomenis, todėl auditorius prieš palei</w:t>
      </w:r>
      <w:r>
        <w:rPr>
          <w:color w:val="000000"/>
        </w:rPr>
        <w:t>sdamas</w:t>
      </w:r>
      <w:r w:rsidRPr="002B6AA5">
        <w:rPr>
          <w:color w:val="000000"/>
        </w:rPr>
        <w:t xml:space="preserve"> CAAT su tęstiniais duomenimis turi apgalvoti </w:t>
      </w:r>
      <w:r>
        <w:rPr>
          <w:color w:val="000000"/>
        </w:rPr>
        <w:t xml:space="preserve">tai, </w:t>
      </w:r>
      <w:r w:rsidRPr="002B6AA5">
        <w:rPr>
          <w:color w:val="000000"/>
        </w:rPr>
        <w:t xml:space="preserve">kokių duomenų jam reikės tokioms procedūroms atlikti. </w:t>
      </w:r>
    </w:p>
    <w:p w14:paraId="2E5735DF" w14:textId="77777777" w:rsidR="00152D54" w:rsidRPr="00152D54" w:rsidRDefault="00152D54" w:rsidP="00E07E26">
      <w:pPr>
        <w:pStyle w:val="Tekstas"/>
        <w:rPr>
          <w:rFonts w:ascii="Fira Sans SemiBold" w:hAnsi="Fira Sans SemiBold" w:cs="Times New Roman"/>
          <w:caps/>
          <w:color w:val="000000"/>
          <w:sz w:val="28"/>
          <w:szCs w:val="28"/>
        </w:rPr>
      </w:pPr>
    </w:p>
    <w:sectPr w:rsidR="00152D54" w:rsidRPr="00152D54" w:rsidSect="008B68F8">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ira Sans Light">
    <w:altName w:val="Calibri"/>
    <w:panose1 w:val="020B0403050000020004"/>
    <w:charset w:val="BA"/>
    <w:family w:val="swiss"/>
    <w:pitch w:val="variable"/>
    <w:sig w:usb0="600002FF"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Fira Sans Book">
    <w:panose1 w:val="020B0503050000020004"/>
    <w:charset w:val="00"/>
    <w:family w:val="swiss"/>
    <w:notTrueType/>
    <w:pitch w:val="variable"/>
    <w:sig w:usb0="600002FF" w:usb1="00000001" w:usb2="00000000" w:usb3="00000000" w:csb0="0000019F" w:csb1="00000000"/>
  </w:font>
  <w:font w:name="Fira Sans SemiBold">
    <w:panose1 w:val="020B0603050000020004"/>
    <w:charset w:val="BA"/>
    <w:family w:val="swiss"/>
    <w:pitch w:val="variable"/>
    <w:sig w:usb0="600002FF" w:usb1="00000001" w:usb2="00000000" w:usb3="00000000" w:csb0="0000019F" w:csb1="00000000"/>
  </w:font>
  <w:font w:name="Fira Sans">
    <w:panose1 w:val="020B0503050000020004"/>
    <w:charset w:val="BA"/>
    <w:family w:val="swiss"/>
    <w:pitch w:val="variable"/>
    <w:sig w:usb0="600002FF"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153B"/>
    <w:multiLevelType w:val="hybridMultilevel"/>
    <w:tmpl w:val="21D08472"/>
    <w:lvl w:ilvl="0" w:tplc="9164512C">
      <w:start w:val="1"/>
      <w:numFmt w:val="bullet"/>
      <w:lvlText w:val=""/>
      <w:lvlJc w:val="left"/>
      <w:pPr>
        <w:ind w:left="720" w:hanging="360"/>
      </w:pPr>
      <w:rPr>
        <w:rFonts w:ascii="Wingdings" w:hAnsi="Wingdings" w:hint="default"/>
        <w:color w:val="2F5496"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B61D8C"/>
    <w:multiLevelType w:val="hybridMultilevel"/>
    <w:tmpl w:val="C3981F2C"/>
    <w:lvl w:ilvl="0" w:tplc="5E7066E4">
      <w:start w:val="1"/>
      <w:numFmt w:val="bullet"/>
      <w:pStyle w:val="Punktas1"/>
      <w:lvlText w:val=""/>
      <w:lvlJc w:val="left"/>
      <w:pPr>
        <w:ind w:left="921" w:hanging="360"/>
      </w:pPr>
      <w:rPr>
        <w:rFonts w:ascii="Wingdings" w:hAnsi="Wingdings" w:hint="default"/>
        <w:color w:val="3C6FA2"/>
        <w:sz w:val="28"/>
        <w:szCs w:val="28"/>
      </w:rPr>
    </w:lvl>
    <w:lvl w:ilvl="1" w:tplc="04270003">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num w:numId="1" w16cid:durableId="767311656">
    <w:abstractNumId w:val="1"/>
  </w:num>
  <w:num w:numId="2" w16cid:durableId="64593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C3"/>
    <w:rsid w:val="00022FA2"/>
    <w:rsid w:val="00054259"/>
    <w:rsid w:val="000E0BC3"/>
    <w:rsid w:val="000F6DBD"/>
    <w:rsid w:val="0014466F"/>
    <w:rsid w:val="00152D54"/>
    <w:rsid w:val="00183FF8"/>
    <w:rsid w:val="00357802"/>
    <w:rsid w:val="00381213"/>
    <w:rsid w:val="004A0E8E"/>
    <w:rsid w:val="005868D2"/>
    <w:rsid w:val="005A7064"/>
    <w:rsid w:val="005D468F"/>
    <w:rsid w:val="00643A4E"/>
    <w:rsid w:val="00762D55"/>
    <w:rsid w:val="0088376C"/>
    <w:rsid w:val="008A13AE"/>
    <w:rsid w:val="008B68F8"/>
    <w:rsid w:val="008C0E35"/>
    <w:rsid w:val="008F7C54"/>
    <w:rsid w:val="009166A4"/>
    <w:rsid w:val="009269AE"/>
    <w:rsid w:val="009C5C7A"/>
    <w:rsid w:val="00B567F3"/>
    <w:rsid w:val="00C140E5"/>
    <w:rsid w:val="00CC789C"/>
    <w:rsid w:val="00D92B22"/>
    <w:rsid w:val="00E07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DCB1"/>
  <w15:chartTrackingRefBased/>
  <w15:docId w15:val="{58AF7F24-06BD-4400-8C27-65FA70B6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qFormat/>
    <w:rsid w:val="000E0BC3"/>
    <w:pPr>
      <w:spacing w:before="200" w:after="0" w:line="288" w:lineRule="auto"/>
      <w:jc w:val="both"/>
    </w:pPr>
    <w:rPr>
      <w:rFonts w:ascii="Fira Sans Light" w:eastAsiaTheme="minorEastAsia" w:hAnsi="Fira Sans Light" w:cs="Segoe UI"/>
      <w:color w:val="000000" w:themeColor="text1"/>
      <w:kern w:val="0"/>
      <w:sz w:val="20"/>
      <w:szCs w:val="20"/>
      <w:lang w:eastAsia="lt-LT"/>
      <w14:ligatures w14:val="none"/>
    </w:rPr>
  </w:style>
  <w:style w:type="character" w:customStyle="1" w:styleId="TekstasDiagrama">
    <w:name w:val="Tekstas Diagrama"/>
    <w:basedOn w:val="Numatytasispastraiposriftas"/>
    <w:link w:val="Tekstas"/>
    <w:rsid w:val="000E0BC3"/>
    <w:rPr>
      <w:rFonts w:ascii="Fira Sans Light" w:eastAsiaTheme="minorEastAsia" w:hAnsi="Fira Sans Light" w:cs="Segoe UI"/>
      <w:color w:val="000000" w:themeColor="text1"/>
      <w:kern w:val="0"/>
      <w:sz w:val="20"/>
      <w:szCs w:val="20"/>
      <w:lang w:eastAsia="lt-LT"/>
      <w14:ligatures w14:val="none"/>
    </w:rPr>
  </w:style>
  <w:style w:type="paragraph" w:customStyle="1" w:styleId="Priedopavadinimas">
    <w:name w:val="Priedo_pavadinimas"/>
    <w:basedOn w:val="Tekstas"/>
    <w:qFormat/>
    <w:rsid w:val="000E0BC3"/>
    <w:pPr>
      <w:spacing w:before="240" w:after="240"/>
      <w:jc w:val="left"/>
    </w:pPr>
    <w:rPr>
      <w:rFonts w:ascii="Fira Sans Book" w:hAnsi="Fira Sans Book"/>
      <w:color w:val="3C6FA2"/>
      <w:sz w:val="26"/>
    </w:rPr>
  </w:style>
  <w:style w:type="paragraph" w:customStyle="1" w:styleId="Punktas1">
    <w:name w:val="Punktas_1"/>
    <w:basedOn w:val="Tekstas"/>
    <w:qFormat/>
    <w:rsid w:val="000E0BC3"/>
    <w:pPr>
      <w:numPr>
        <w:numId w:val="1"/>
      </w:numPr>
      <w:spacing w:before="80"/>
      <w:ind w:left="397" w:hanging="397"/>
    </w:pPr>
    <w:rPr>
      <w:color w:val="000000"/>
    </w:rPr>
  </w:style>
  <w:style w:type="table" w:customStyle="1" w:styleId="Lentelepriedas">
    <w:name w:val="Lentele_priedas"/>
    <w:basedOn w:val="prastojilentel"/>
    <w:uiPriority w:val="99"/>
    <w:qFormat/>
    <w:rsid w:val="005D468F"/>
    <w:pPr>
      <w:spacing w:after="0" w:line="240" w:lineRule="auto"/>
    </w:pPr>
    <w:rPr>
      <w:rFonts w:ascii="Segoe UI" w:eastAsiaTheme="minorEastAsia" w:hAnsi="Segoe UI" w:cs="Times New Roman"/>
      <w:color w:val="000000"/>
      <w:kern w:val="0"/>
      <w:sz w:val="16"/>
      <w:szCs w:val="20"/>
      <w:lang w:eastAsia="lt-LT"/>
      <w14:ligatures w14:val="none"/>
    </w:rPr>
    <w:tblPr>
      <w:tblBorders>
        <w:top w:val="single" w:sz="4" w:space="0" w:color="004B7E"/>
        <w:left w:val="single" w:sz="4" w:space="0" w:color="004B7E"/>
        <w:bottom w:val="single" w:sz="4" w:space="0" w:color="004B7E"/>
        <w:right w:val="single" w:sz="4" w:space="0" w:color="004B7E"/>
        <w:insideH w:val="single" w:sz="4" w:space="0" w:color="004B7E"/>
        <w:insideV w:val="single" w:sz="4" w:space="0" w:color="004B7E"/>
      </w:tblBorders>
    </w:tblPr>
    <w:tcPr>
      <w:shd w:val="clear" w:color="auto" w:fill="FFFFFF" w:themeFill="background1"/>
    </w:tcPr>
    <w:tblStylePr w:type="firstRow">
      <w:pPr>
        <w:wordWrap/>
        <w:spacing w:beforeLines="0" w:beforeAutospacing="0" w:afterLines="0" w:afterAutospacing="0" w:line="240" w:lineRule="auto"/>
        <w:ind w:leftChars="0" w:left="0" w:rightChars="0" w:right="0" w:firstLineChars="0" w:firstLine="0"/>
        <w:contextualSpacing w:val="0"/>
        <w:mirrorIndents w:val="0"/>
        <w:jc w:val="center"/>
        <w:outlineLvl w:val="9"/>
      </w:pPr>
      <w:rPr>
        <w:rFonts w:ascii="Segoe UI" w:hAnsi="Segoe UI"/>
        <w:b w:val="0"/>
        <w:i w:val="0"/>
        <w:color w:val="004B7E"/>
        <w:sz w:val="16"/>
      </w:rPr>
      <w:tblPr/>
      <w:tcPr>
        <w:tcBorders>
          <w:top w:val="single" w:sz="4" w:space="0" w:color="004B7E"/>
          <w:left w:val="single" w:sz="4" w:space="0" w:color="004B7E"/>
          <w:bottom w:val="single" w:sz="4" w:space="0" w:color="004B7E"/>
          <w:right w:val="single" w:sz="4" w:space="0" w:color="004B7E"/>
          <w:insideH w:val="nil"/>
          <w:insideV w:val="single" w:sz="4" w:space="0" w:color="004B7E"/>
          <w:tl2br w:val="nil"/>
          <w:tr2bl w:val="nil"/>
        </w:tcBorders>
      </w:tcPr>
    </w:tblStylePr>
  </w:style>
  <w:style w:type="table" w:styleId="Lentelstinklelis">
    <w:name w:val="Table Grid"/>
    <w:basedOn w:val="prastojilentel"/>
    <w:uiPriority w:val="39"/>
    <w:rsid w:val="008A13AE"/>
    <w:pPr>
      <w:spacing w:after="0" w:line="240" w:lineRule="auto"/>
    </w:pPr>
    <w:rPr>
      <w:rFonts w:ascii="Times New Roman" w:eastAsiaTheme="minorEastAsia"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numeruotaantraste">
    <w:name w:val="Nenumeruota_antraste"/>
    <w:basedOn w:val="Turinys4"/>
    <w:qFormat/>
    <w:rsid w:val="008A13AE"/>
    <w:pPr>
      <w:keepNext/>
      <w:tabs>
        <w:tab w:val="left" w:pos="1588"/>
        <w:tab w:val="right" w:pos="7938"/>
      </w:tabs>
      <w:spacing w:before="480" w:after="360" w:line="288" w:lineRule="auto"/>
      <w:ind w:left="0"/>
      <w:outlineLvl w:val="2"/>
    </w:pPr>
    <w:rPr>
      <w:rFonts w:ascii="Fira Sans Book" w:eastAsiaTheme="minorEastAsia" w:hAnsi="Fira Sans Book" w:cs="Segoe UI"/>
      <w:noProof/>
      <w:color w:val="3C6FA2"/>
      <w:kern w:val="0"/>
      <w:sz w:val="24"/>
      <w:szCs w:val="20"/>
      <w:lang w:eastAsia="lt-LT"/>
      <w14:ligatures w14:val="none"/>
    </w:rPr>
  </w:style>
  <w:style w:type="paragraph" w:styleId="Turinys4">
    <w:name w:val="toc 4"/>
    <w:basedOn w:val="prastasis"/>
    <w:next w:val="prastasis"/>
    <w:autoRedefine/>
    <w:uiPriority w:val="39"/>
    <w:semiHidden/>
    <w:unhideWhenUsed/>
    <w:rsid w:val="008A13AE"/>
    <w:pPr>
      <w:spacing w:after="100"/>
      <w:ind w:left="660"/>
    </w:pPr>
  </w:style>
  <w:style w:type="table" w:customStyle="1" w:styleId="Lentelesnaujos">
    <w:name w:val="Lenteles_naujos"/>
    <w:basedOn w:val="prastojilentel"/>
    <w:uiPriority w:val="99"/>
    <w:rsid w:val="00152D54"/>
    <w:pPr>
      <w:spacing w:before="40" w:after="40" w:line="240" w:lineRule="auto"/>
      <w:jc w:val="center"/>
    </w:pPr>
    <w:rPr>
      <w:rFonts w:ascii="Fira Sans Light" w:eastAsiaTheme="minorEastAsia" w:hAnsi="Fira Sans Light" w:cs="Times New Roman"/>
      <w:kern w:val="0"/>
      <w:sz w:val="18"/>
      <w:szCs w:val="20"/>
      <w:lang w:eastAsia="lt-LT"/>
      <w14:ligatures w14:val="none"/>
    </w:rPr>
    <w:tblPr>
      <w:tblStyleRowBandSize w:val="1"/>
      <w:tblBorders>
        <w:top w:val="single" w:sz="4" w:space="0" w:color="3C6FA2"/>
        <w:bottom w:val="single" w:sz="4" w:space="0" w:color="3C6FA2"/>
        <w:insideH w:val="single" w:sz="4" w:space="0" w:color="3C6FA2"/>
      </w:tblBorders>
    </w:tblPr>
    <w:tblStylePr w:type="firstRow">
      <w:pPr>
        <w:jc w:val="center"/>
      </w:pPr>
      <w:rPr>
        <w:rFonts w:ascii="Fira Sans Book" w:hAnsi="Fira Sans Book"/>
        <w:b w:val="0"/>
        <w:color w:val="1469AA"/>
        <w:sz w:val="20"/>
      </w:rPr>
      <w:tblPr/>
      <w:tcPr>
        <w:tcBorders>
          <w:top w:val="single" w:sz="4" w:space="0" w:color="3C6FA2"/>
          <w:left w:val="nil"/>
          <w:bottom w:val="nil"/>
          <w:right w:val="nil"/>
          <w:insideH w:val="nil"/>
          <w:insideV w:val="nil"/>
          <w:tl2br w:val="nil"/>
          <w:tr2bl w:val="nil"/>
        </w:tcBorders>
      </w:tcPr>
    </w:tblStylePr>
    <w:tblStylePr w:type="lastRow">
      <w:tblPr/>
      <w:tcPr>
        <w:tcBorders>
          <w:top w:val="nil"/>
          <w:left w:val="nil"/>
          <w:bottom w:val="single" w:sz="4" w:space="0" w:color="3C6FA2"/>
          <w:right w:val="nil"/>
          <w:insideH w:val="nil"/>
          <w:insideV w:val="nil"/>
        </w:tcBorders>
      </w:tcPr>
    </w:tblStylePr>
    <w:tblStylePr w:type="firstCol">
      <w:pPr>
        <w:wordWrap/>
        <w:spacing w:beforeLines="0" w:before="20" w:beforeAutospacing="0" w:afterLines="0" w:after="20" w:afterAutospacing="0" w:line="240" w:lineRule="auto"/>
        <w:ind w:leftChars="0" w:left="0" w:rightChars="0" w:right="0" w:firstLineChars="0" w:firstLine="0"/>
        <w:jc w:val="left"/>
        <w:outlineLvl w:val="9"/>
      </w:pPr>
      <w:rPr>
        <w:rFonts w:ascii="Fira Sans Light" w:hAnsi="Fira Sans Light"/>
        <w:sz w:val="1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76ED36C6597084DA00CA5599C8121A2" ma:contentTypeVersion="16" ma:contentTypeDescription="Kurkite naują dokumentą." ma:contentTypeScope="" ma:versionID="a05bb7488400c11bf674b5c7b0e559a7">
  <xsd:schema xmlns:xsd="http://www.w3.org/2001/XMLSchema" xmlns:xs="http://www.w3.org/2001/XMLSchema" xmlns:p="http://schemas.microsoft.com/office/2006/metadata/properties" xmlns:ns2="43b2f13c-f70d-4c6e-b5f7-9e2ccba023ba" xmlns:ns3="2ff60ae3-5684-4ad4-b6f7-bf4e4bec136e" targetNamespace="http://schemas.microsoft.com/office/2006/metadata/properties" ma:root="true" ma:fieldsID="8fba942a79935e45c59cb59df3c33880" ns2:_="" ns3:_="">
    <xsd:import namespace="43b2f13c-f70d-4c6e-b5f7-9e2ccba023ba"/>
    <xsd:import namespace="2ff60ae3-5684-4ad4-b6f7-bf4e4bec13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2f13c-f70d-4c6e-b5f7-9e2ccba0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d2df5aa5-79f2-496f-895d-621c3e445b7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60ae3-5684-4ad4-b6f7-bf4e4bec136e"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9c90cc82-75ad-4204-a209-4e4bb03cf38e}" ma:internalName="TaxCatchAll" ma:showField="CatchAllData" ma:web="2ff60ae3-5684-4ad4-b6f7-bf4e4bec1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2f13c-f70d-4c6e-b5f7-9e2ccba023ba">
      <Terms xmlns="http://schemas.microsoft.com/office/infopath/2007/PartnerControls"/>
    </lcf76f155ced4ddcb4097134ff3c332f>
    <TaxCatchAll xmlns="2ff60ae3-5684-4ad4-b6f7-bf4e4bec136e" xsi:nil="true"/>
  </documentManagement>
</p:properties>
</file>

<file path=customXml/itemProps1.xml><?xml version="1.0" encoding="utf-8"?>
<ds:datastoreItem xmlns:ds="http://schemas.openxmlformats.org/officeDocument/2006/customXml" ds:itemID="{BE8CB3B6-8D78-4421-9096-6427BEB087E0}">
  <ds:schemaRefs>
    <ds:schemaRef ds:uri="http://schemas.microsoft.com/sharepoint/v3/contenttype/forms"/>
  </ds:schemaRefs>
</ds:datastoreItem>
</file>

<file path=customXml/itemProps2.xml><?xml version="1.0" encoding="utf-8"?>
<ds:datastoreItem xmlns:ds="http://schemas.openxmlformats.org/officeDocument/2006/customXml" ds:itemID="{C6275704-EE20-4CF2-87D5-B6631ED72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2f13c-f70d-4c6e-b5f7-9e2ccba023ba"/>
    <ds:schemaRef ds:uri="2ff60ae3-5684-4ad4-b6f7-bf4e4bec1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42389-9E24-45F7-BDD5-42F3DBB365B1}">
  <ds:schemaRefs>
    <ds:schemaRef ds:uri="http://schemas.microsoft.com/office/2006/metadata/properties"/>
    <ds:schemaRef ds:uri="http://schemas.microsoft.com/office/infopath/2007/PartnerControls"/>
    <ds:schemaRef ds:uri="43b2f13c-f70d-4c6e-b5f7-9e2ccba023ba"/>
    <ds:schemaRef ds:uri="2ff60ae3-5684-4ad4-b6f7-bf4e4bec136e"/>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2989</Words>
  <Characters>1705</Characters>
  <Application>Microsoft Office Word</Application>
  <DocSecurity>0</DocSecurity>
  <Lines>14</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Raglienė</dc:creator>
  <cp:keywords/>
  <dc:description/>
  <cp:lastModifiedBy>IMD</cp:lastModifiedBy>
  <cp:revision>4</cp:revision>
  <dcterms:created xsi:type="dcterms:W3CDTF">2025-05-12T06:55:00Z</dcterms:created>
  <dcterms:modified xsi:type="dcterms:W3CDTF">2025-05-12T06:56:00Z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0x010100D76ED36C6597084DA00CA5599C8121A2</vt:lpwstr>
  </property>
</Properties>
</file>