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epriedas"/>
        <w:tblpPr w:leftFromText="181" w:rightFromText="181" w:vertAnchor="page" w:horzAnchor="page" w:tblpY="1"/>
        <w:tblW w:w="12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244D"/>
        <w:tblLook w:val="04A0" w:firstRow="1" w:lastRow="0" w:firstColumn="1" w:lastColumn="0" w:noHBand="0" w:noVBand="1"/>
      </w:tblPr>
      <w:tblGrid>
        <w:gridCol w:w="1560"/>
        <w:gridCol w:w="4450"/>
        <w:gridCol w:w="4905"/>
        <w:gridCol w:w="1105"/>
      </w:tblGrid>
      <w:tr w:rsidR="005D468F" w:rsidRPr="002C7441" w14:paraId="38A1EFEF" w14:textId="77777777" w:rsidTr="008A4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tcW w:w="6010" w:type="dxa"/>
            <w:gridSpan w:val="2"/>
            <w:shd w:val="clear" w:color="auto" w:fill="192850"/>
          </w:tcPr>
          <w:p w14:paraId="7F7A04FE" w14:textId="77777777" w:rsidR="005D468F" w:rsidRPr="002C7441" w:rsidRDefault="005D468F" w:rsidP="008A4A2E">
            <w:pPr>
              <w:rPr>
                <w:rFonts w:ascii="Fira Sans Book" w:hAnsi="Fira Sans Book" w:cs="Segoe UI"/>
                <w:sz w:val="20"/>
              </w:rPr>
            </w:pPr>
            <w:bookmarkStart w:id="0" w:name="_Toc134709433"/>
            <w:bookmarkStart w:id="1" w:name="_Toc94259984"/>
            <w:bookmarkStart w:id="2" w:name="_Toc94785820"/>
            <w:bookmarkStart w:id="3" w:name="_Toc137214262"/>
            <w:bookmarkStart w:id="4" w:name="_Toc145341803"/>
            <w:bookmarkStart w:id="5" w:name="_Toc145341851"/>
            <w:bookmarkStart w:id="6" w:name="_Toc145410400"/>
          </w:p>
        </w:tc>
        <w:tc>
          <w:tcPr>
            <w:tcW w:w="6010" w:type="dxa"/>
            <w:gridSpan w:val="2"/>
            <w:shd w:val="clear" w:color="auto" w:fill="1469AA"/>
          </w:tcPr>
          <w:p w14:paraId="071E835B" w14:textId="77777777" w:rsidR="005D468F" w:rsidRPr="002C7441" w:rsidRDefault="005D468F" w:rsidP="008A4A2E">
            <w:pPr>
              <w:rPr>
                <w:rFonts w:ascii="Fira Sans Book" w:hAnsi="Fira Sans Book" w:cs="Segoe UI"/>
                <w:sz w:val="20"/>
              </w:rPr>
            </w:pPr>
          </w:p>
        </w:tc>
      </w:tr>
      <w:tr w:rsidR="005D468F" w:rsidRPr="002C7441" w14:paraId="105EEDC5" w14:textId="77777777" w:rsidTr="00054259">
        <w:trPr>
          <w:gridAfter w:val="1"/>
          <w:wAfter w:w="1105" w:type="dxa"/>
          <w:trHeight w:hRule="exact" w:val="297"/>
        </w:trPr>
        <w:tc>
          <w:tcPr>
            <w:tcW w:w="1560" w:type="dxa"/>
            <w:shd w:val="clear" w:color="auto" w:fill="auto"/>
          </w:tcPr>
          <w:p w14:paraId="377E6E4E" w14:textId="77777777" w:rsidR="005D468F" w:rsidRPr="002C7441" w:rsidRDefault="005D468F" w:rsidP="008A4A2E">
            <w:pPr>
              <w:rPr>
                <w:rFonts w:ascii="Fira Sans Book" w:hAnsi="Fira Sans Book" w:cs="Segoe UI"/>
                <w:sz w:val="20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bottom"/>
          </w:tcPr>
          <w:p w14:paraId="085A6EF2" w14:textId="685FA34B" w:rsidR="005D468F" w:rsidRPr="002C7441" w:rsidRDefault="005D468F" w:rsidP="008A4A2E">
            <w:pPr>
              <w:spacing w:after="60"/>
              <w:rPr>
                <w:rFonts w:ascii="Fira Sans Book" w:hAnsi="Fira Sans Book" w:cs="Segoe UI"/>
                <w:sz w:val="20"/>
              </w:rPr>
            </w:pPr>
          </w:p>
        </w:tc>
      </w:tr>
      <w:tr w:rsidR="005D468F" w:rsidRPr="002C7441" w14:paraId="3B678F91" w14:textId="77777777" w:rsidTr="008A4A2E">
        <w:trPr>
          <w:gridAfter w:val="1"/>
          <w:wAfter w:w="1105" w:type="dxa"/>
          <w:trHeight w:val="851"/>
        </w:trPr>
        <w:tc>
          <w:tcPr>
            <w:tcW w:w="1560" w:type="dxa"/>
            <w:shd w:val="clear" w:color="auto" w:fill="auto"/>
          </w:tcPr>
          <w:p w14:paraId="24D4465B" w14:textId="77777777" w:rsidR="005D468F" w:rsidRPr="002C7441" w:rsidRDefault="005D468F" w:rsidP="008A4A2E">
            <w:pPr>
              <w:rPr>
                <w:rFonts w:ascii="Fira Sans Book" w:hAnsi="Fira Sans Book" w:cs="Segoe UI"/>
                <w:sz w:val="20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14:paraId="7E9BD5D7" w14:textId="1350DDD0" w:rsidR="005D468F" w:rsidRPr="002C7441" w:rsidRDefault="00381213" w:rsidP="008A4A2E">
            <w:pPr>
              <w:spacing w:before="480" w:after="120" w:line="288" w:lineRule="auto"/>
              <w:rPr>
                <w:rFonts w:ascii="Fira Sans SemiBold" w:hAnsi="Fira Sans SemiBold" w:cs="Segoe UI"/>
                <w:caps/>
                <w:sz w:val="28"/>
                <w:szCs w:val="28"/>
              </w:rPr>
            </w:pPr>
            <w:r w:rsidRPr="002C7441">
              <w:rPr>
                <w:rFonts w:ascii="Fira Sans Book" w:hAnsi="Fira Sans Book" w:cs="Segoe UI"/>
                <w:noProof/>
                <w:sz w:val="20"/>
              </w:rPr>
              <w:drawing>
                <wp:inline distT="0" distB="0" distL="0" distR="0" wp14:anchorId="205A2A37" wp14:editId="3E12358E">
                  <wp:extent cx="1438275" cy="733425"/>
                  <wp:effectExtent l="0" t="0" r="9525" b="9525"/>
                  <wp:docPr id="2" name="Grafinis elementa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K_valstybinis_auditas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EFB8E43" w14:textId="28150B6D" w:rsidR="005D468F" w:rsidRPr="00651EEE" w:rsidRDefault="005D468F" w:rsidP="005D468F">
      <w:pPr>
        <w:spacing w:after="240" w:line="240" w:lineRule="auto"/>
        <w:rPr>
          <w:rFonts w:ascii="Fira Sans" w:eastAsiaTheme="minorEastAsia" w:hAnsi="Fira Sans" w:cs="Times New Roman"/>
          <w:color w:val="192850"/>
          <w:kern w:val="0"/>
          <w:sz w:val="26"/>
          <w:szCs w:val="26"/>
          <w:lang w:eastAsia="lt-LT"/>
          <w14:ligatures w14:val="none"/>
        </w:rPr>
      </w:pPr>
    </w:p>
    <w:p w14:paraId="7A655361" w14:textId="77777777" w:rsidR="009269AE" w:rsidRPr="009269AE" w:rsidRDefault="009269AE" w:rsidP="009269AE">
      <w:pPr>
        <w:pStyle w:val="Priedopavadinimas"/>
        <w:rPr>
          <w:rFonts w:ascii="Fira Sans SemiBold" w:hAnsi="Fira Sans SemiBold" w:cs="Times New Roman"/>
          <w:caps/>
          <w:color w:val="000000"/>
          <w:sz w:val="28"/>
          <w:szCs w:val="28"/>
        </w:rPr>
      </w:pPr>
      <w:bookmarkStart w:id="7" w:name="_Toc190243999"/>
      <w:bookmarkStart w:id="8" w:name="_Toc190244122"/>
      <w:bookmarkStart w:id="9" w:name="_Toc190244227"/>
      <w:bookmarkStart w:id="10" w:name="_Toc190244281"/>
      <w:bookmarkStart w:id="11" w:name="_Toc190244408"/>
      <w:bookmarkStart w:id="12" w:name="_Toc190244544"/>
      <w:bookmarkStart w:id="13" w:name="_Toc190245401"/>
      <w:bookmarkStart w:id="14" w:name="_Toc190246382"/>
      <w:bookmarkStart w:id="15" w:name="_Toc190246756"/>
      <w:bookmarkStart w:id="16" w:name="_Toc190247999"/>
      <w:bookmarkStart w:id="17" w:name="_Toc190253070"/>
      <w:bookmarkStart w:id="18" w:name="_Toc190253130"/>
      <w:bookmarkStart w:id="19" w:name="_Toc194593516"/>
      <w:bookmarkEnd w:id="1"/>
      <w:bookmarkEnd w:id="2"/>
      <w:bookmarkEnd w:id="3"/>
      <w:bookmarkEnd w:id="4"/>
      <w:bookmarkEnd w:id="5"/>
      <w:bookmarkEnd w:id="6"/>
      <w:r w:rsidRPr="009269AE">
        <w:rPr>
          <w:rFonts w:ascii="Fira Sans SemiBold" w:hAnsi="Fira Sans SemiBold" w:cs="Times New Roman"/>
          <w:caps/>
          <w:color w:val="000000"/>
          <w:sz w:val="28"/>
          <w:szCs w:val="28"/>
        </w:rPr>
        <w:t>Įgimtos rizikos veiksnių sąrašas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61DEDBB" w14:textId="77777777" w:rsidR="00E07E26" w:rsidRPr="002B6AA5" w:rsidRDefault="00E07E26" w:rsidP="00E07E26">
      <w:pPr>
        <w:pStyle w:val="Tekstas"/>
        <w:rPr>
          <w:color w:val="000000"/>
        </w:rPr>
      </w:pPr>
      <w:r w:rsidRPr="002B6AA5">
        <w:rPr>
          <w:color w:val="000000"/>
        </w:rPr>
        <w:t xml:space="preserve">Toliau išvardyti rizikos veiksniai nėra baigtiniai ir priklausomai nuo atliekamo audito – veiklos, finansinis, atitikties – gali būti aktualūs kiti įgimtos rizikos veiksniai. Auditorius turėtų visada įvertinti su sukčiavimu ir teisės aktų pažeidimais susijusią įgimtą riziką. </w:t>
      </w:r>
    </w:p>
    <w:p w14:paraId="3535DC73" w14:textId="77777777" w:rsidR="00E07E26" w:rsidRPr="002B6AA5" w:rsidRDefault="00E07E26" w:rsidP="00E07E26">
      <w:pPr>
        <w:pStyle w:val="Tekstas"/>
        <w:rPr>
          <w:color w:val="000000"/>
        </w:rPr>
      </w:pPr>
      <w:r w:rsidRPr="002B6AA5">
        <w:rPr>
          <w:color w:val="000000"/>
        </w:rPr>
        <w:t>Įgimtos rizikos veiksniai, susiję su IT strateginiu valdymu ir IT plėtros programomis:</w:t>
      </w:r>
    </w:p>
    <w:p w14:paraId="6E57067C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 xml:space="preserve">IT strategijos sudėtingumas, neaiškūs ir nerealistiški IT strateginiai tikslai; </w:t>
      </w:r>
    </w:p>
    <w:p w14:paraId="1BA0B3AB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 xml:space="preserve">organizacijos veiklos ir IT plėtros prioritetai ir tikslai labai skiriasi; </w:t>
      </w:r>
    </w:p>
    <w:p w14:paraId="7F195AE5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 xml:space="preserve">esamų IT programos finansavimo arba tinkamumo finansuoti taisyklių pakeitimas; </w:t>
      </w:r>
    </w:p>
    <w:p w14:paraId="0AC0F0BD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sudėtingi, neįprasti arba didelės vertės IT plėtros sprendimai;</w:t>
      </w:r>
    </w:p>
    <w:p w14:paraId="26E04BB8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 xml:space="preserve">tokio pobūdžio veikla, kuri tradiciškai laikoma itin paveikiama sukčiavimo arba korupcijos rizikos (pvz., IT viešieji pirkimai); </w:t>
      </w:r>
    </w:p>
    <w:p w14:paraId="05C58925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skubūs veiksmai (</w:t>
      </w:r>
      <w:r>
        <w:t>pvz.</w:t>
      </w:r>
      <w:r w:rsidRPr="002B6AA5">
        <w:t xml:space="preserve">, pagalba ekstremaliųjų situacijų atveju) </w:t>
      </w:r>
      <w:r>
        <w:t>arba</w:t>
      </w:r>
      <w:r w:rsidRPr="002B6AA5">
        <w:t xml:space="preserve"> veiksmai, kuriems nėra visapusiškai taikomos įprastos kontrolės priemonės; </w:t>
      </w:r>
    </w:p>
    <w:p w14:paraId="062B05DE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 xml:space="preserve">tikslų neatitinkantys IT valdymo kriterijai (angl. KPI) (per platūs, pernelyg ribojantys, nesvarbūs); </w:t>
      </w:r>
    </w:p>
    <w:p w14:paraId="3B8CDCAE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E74F1A">
        <w:rPr>
          <w:spacing w:val="-4"/>
        </w:rPr>
        <w:t>veiklos administravimas, apimantis sudėtingą IT turto vertinimą ar gautų prekių ir paslaugų sąnaudų apskaičiavimą (pvz., kai sutartyse nustatytos kainų koregavimo formulės</w:t>
      </w:r>
      <w:r w:rsidRPr="002B6AA5">
        <w:t>);</w:t>
      </w:r>
    </w:p>
    <w:p w14:paraId="25FAE08B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konkretūs dalykai, paminėti vidaus ir išorės audito ataskaitose, spaudoje ir kt.</w:t>
      </w:r>
    </w:p>
    <w:p w14:paraId="24850C77" w14:textId="77777777" w:rsidR="00E07E26" w:rsidRPr="002B6AA5" w:rsidRDefault="00E07E26" w:rsidP="00E07E26">
      <w:pPr>
        <w:pStyle w:val="Tekstas"/>
        <w:rPr>
          <w:color w:val="000000"/>
        </w:rPr>
      </w:pPr>
      <w:r w:rsidRPr="002B6AA5">
        <w:rPr>
          <w:color w:val="000000"/>
        </w:rPr>
        <w:t>Įgimtos rizikos veiksniai, susiję su organizacine struktūra ir žmogiškais</w:t>
      </w:r>
      <w:r>
        <w:rPr>
          <w:color w:val="000000"/>
        </w:rPr>
        <w:t>iais</w:t>
      </w:r>
      <w:r w:rsidRPr="002B6AA5">
        <w:rPr>
          <w:color w:val="000000"/>
        </w:rPr>
        <w:t xml:space="preserve"> ištekliais:</w:t>
      </w:r>
    </w:p>
    <w:p w14:paraId="1F3BEE26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geografiškai suskaidyta organizacija, kurioje yra daug išsibarsčiusių teritorinių vienetų;</w:t>
      </w:r>
    </w:p>
    <w:p w14:paraId="592BF521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 xml:space="preserve">neaiškus atsakomybės pasidalijimas IT padalinyje; </w:t>
      </w:r>
    </w:p>
    <w:p w14:paraId="0667DE37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neaiškus atsakomybės pasidalinimas tarp IS valdytojo ir tvarkytojo;</w:t>
      </w:r>
    </w:p>
    <w:p w14:paraId="59C494AF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 xml:space="preserve">IT procesai arba IT projektai, kuriuose dalyvauja daug partnerių (koordinavimo problemos, silpnos valdymo ir ryšių struktūros); </w:t>
      </w:r>
    </w:p>
    <w:p w14:paraId="6588D9F5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 xml:space="preserve">IT padalinio per maža arba per didelė personalo kaita; </w:t>
      </w:r>
    </w:p>
    <w:p w14:paraId="4E1E8AC8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IT veiklos sritis, kurioje IT padalinio personalas neturi patirties arba turi tik ribotą patirtį;</w:t>
      </w:r>
    </w:p>
    <w:p w14:paraId="04BF0163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veikla, kuri yra labai priklausoma nuo nedidelio pagrindinių darbuotojų skaičiaus;</w:t>
      </w:r>
    </w:p>
    <w:p w14:paraId="2EA4E791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 xml:space="preserve">nepakankamas personalas, žemos kvalifikacijos, nepatyrę, menkai motyvuoti darbuotojai </w:t>
      </w:r>
      <w:r>
        <w:t>arba</w:t>
      </w:r>
      <w:r w:rsidRPr="002B6AA5">
        <w:t xml:space="preserve"> vadovybė;</w:t>
      </w:r>
    </w:p>
    <w:p w14:paraId="07546CC9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dažni organizacinės struktūros pasikeitimai;</w:t>
      </w:r>
    </w:p>
    <w:p w14:paraId="4CDE1CF5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lastRenderedPageBreak/>
        <w:t>konkretūs dalykai, paminėti vidaus ir išorės audito ataskaitose, spaudoje ir kt.</w:t>
      </w:r>
    </w:p>
    <w:p w14:paraId="0009B6DA" w14:textId="77777777" w:rsidR="00E07E26" w:rsidRPr="002B6AA5" w:rsidRDefault="00E07E26" w:rsidP="00E07E26">
      <w:pPr>
        <w:pStyle w:val="Tekstas"/>
        <w:rPr>
          <w:color w:val="000000"/>
        </w:rPr>
      </w:pPr>
      <w:r w:rsidRPr="002B6AA5">
        <w:rPr>
          <w:color w:val="000000"/>
        </w:rPr>
        <w:t xml:space="preserve">Įgimtos rizikos veiksniai, susiję su </w:t>
      </w:r>
      <w:r w:rsidRPr="002B6AA5">
        <w:rPr>
          <w:i/>
          <w:color w:val="000000"/>
        </w:rPr>
        <w:t>IT infrastruktūra</w:t>
      </w:r>
      <w:r w:rsidRPr="002B6AA5">
        <w:rPr>
          <w:color w:val="000000"/>
        </w:rPr>
        <w:t>:</w:t>
      </w:r>
    </w:p>
    <w:p w14:paraId="0FB8867D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pasenusios IT programinės, techninės įrangos naudojimas;</w:t>
      </w:r>
    </w:p>
    <w:p w14:paraId="350C3338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diegiamos naujos technologijos, kurios dar nėra išbandytos;</w:t>
      </w:r>
    </w:p>
    <w:p w14:paraId="3015A941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skirtingų technologijų gausa;</w:t>
      </w:r>
    </w:p>
    <w:p w14:paraId="4A0AF5EF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neaiški, sudėtinga IT architektūra;</w:t>
      </w:r>
    </w:p>
    <w:p w14:paraId="2189AB11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daug įvairių integracijų tarp IS posistemių;</w:t>
      </w:r>
    </w:p>
    <w:p w14:paraId="39746B77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 xml:space="preserve">per </w:t>
      </w:r>
      <w:r w:rsidRPr="00E74F1A">
        <w:rPr>
          <w:spacing w:val="-4"/>
        </w:rPr>
        <w:t>didelė priklausomybė nuo vieno tiekėjo (pvz., įrangos tiekėjas turi išskirtinę priežiūros sutartį, yra vienintelis detalių ir medžiagų, programinės įrangos ir kt. tiekėjas</w:t>
      </w:r>
      <w:r w:rsidRPr="002B6AA5">
        <w:t>);</w:t>
      </w:r>
    </w:p>
    <w:p w14:paraId="424B883A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neatliekamas infrastruktūros pažeidžiamumų testavimas;</w:t>
      </w:r>
    </w:p>
    <w:p w14:paraId="66B5E44C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 xml:space="preserve">IT turto išeikvojimas arba vagystė; </w:t>
      </w:r>
    </w:p>
    <w:p w14:paraId="6B041F88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Vidaus auditas neatlieka IT auditų, neturi kompetencijų atlikti tokio pobūdžio auditų;</w:t>
      </w:r>
    </w:p>
    <w:p w14:paraId="183AA224" w14:textId="77777777" w:rsidR="00E07E26" w:rsidRPr="002B6AA5" w:rsidRDefault="00E07E26" w:rsidP="00E07E26">
      <w:pPr>
        <w:pStyle w:val="Punktas1"/>
        <w:spacing w:before="120"/>
        <w:ind w:left="921" w:hanging="360"/>
      </w:pPr>
      <w:r w:rsidRPr="002B6AA5">
        <w:t>konkretūs dalykai, paminėti vidaus ir išorės audito ataskaitose, spaudoje ir kt.</w:t>
      </w:r>
    </w:p>
    <w:p w14:paraId="2E5735DF" w14:textId="77777777" w:rsidR="00152D54" w:rsidRPr="00152D54" w:rsidRDefault="00152D54" w:rsidP="00E07E26">
      <w:pPr>
        <w:pStyle w:val="Tekstas"/>
        <w:rPr>
          <w:rFonts w:ascii="Fira Sans SemiBold" w:hAnsi="Fira Sans SemiBold" w:cs="Times New Roman"/>
          <w:caps/>
          <w:color w:val="000000"/>
          <w:sz w:val="28"/>
          <w:szCs w:val="28"/>
        </w:rPr>
      </w:pPr>
    </w:p>
    <w:sectPr w:rsidR="00152D54" w:rsidRPr="00152D54" w:rsidSect="008B68F8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ira Sans Light">
    <w:altName w:val="Calibri"/>
    <w:panose1 w:val="020B0403050000020004"/>
    <w:charset w:val="BA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ira Sans Book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SemiBold">
    <w:panose1 w:val="020B0603050000020004"/>
    <w:charset w:val="BA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BA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153B"/>
    <w:multiLevelType w:val="hybridMultilevel"/>
    <w:tmpl w:val="21D08472"/>
    <w:lvl w:ilvl="0" w:tplc="916451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61D8C"/>
    <w:multiLevelType w:val="hybridMultilevel"/>
    <w:tmpl w:val="C3981F2C"/>
    <w:lvl w:ilvl="0" w:tplc="5E7066E4">
      <w:start w:val="1"/>
      <w:numFmt w:val="bullet"/>
      <w:pStyle w:val="Punktas1"/>
      <w:lvlText w:val=""/>
      <w:lvlJc w:val="left"/>
      <w:pPr>
        <w:ind w:left="921" w:hanging="360"/>
      </w:pPr>
      <w:rPr>
        <w:rFonts w:ascii="Wingdings" w:hAnsi="Wingdings" w:hint="default"/>
        <w:color w:val="3C6FA2"/>
        <w:sz w:val="28"/>
        <w:szCs w:val="28"/>
      </w:rPr>
    </w:lvl>
    <w:lvl w:ilvl="1" w:tplc="04270003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num w:numId="1" w16cid:durableId="767311656">
    <w:abstractNumId w:val="1"/>
  </w:num>
  <w:num w:numId="2" w16cid:durableId="64593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C3"/>
    <w:rsid w:val="00022FA2"/>
    <w:rsid w:val="00054259"/>
    <w:rsid w:val="000E0BC3"/>
    <w:rsid w:val="000F6DBD"/>
    <w:rsid w:val="0014466F"/>
    <w:rsid w:val="00152D54"/>
    <w:rsid w:val="00183FF8"/>
    <w:rsid w:val="00357802"/>
    <w:rsid w:val="00381213"/>
    <w:rsid w:val="004A0E8E"/>
    <w:rsid w:val="005868D2"/>
    <w:rsid w:val="005A7064"/>
    <w:rsid w:val="005D468F"/>
    <w:rsid w:val="00643A4E"/>
    <w:rsid w:val="0088376C"/>
    <w:rsid w:val="008A13AE"/>
    <w:rsid w:val="008B68F8"/>
    <w:rsid w:val="008F7C54"/>
    <w:rsid w:val="009166A4"/>
    <w:rsid w:val="009269AE"/>
    <w:rsid w:val="00B567F3"/>
    <w:rsid w:val="00C140E5"/>
    <w:rsid w:val="00CC789C"/>
    <w:rsid w:val="00D92B22"/>
    <w:rsid w:val="00E0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DCB1"/>
  <w15:chartTrackingRefBased/>
  <w15:docId w15:val="{58AF7F24-06BD-4400-8C27-65FA70B6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Diagrama"/>
    <w:qFormat/>
    <w:rsid w:val="000E0BC3"/>
    <w:pPr>
      <w:spacing w:before="200" w:after="0" w:line="288" w:lineRule="auto"/>
      <w:jc w:val="both"/>
    </w:pPr>
    <w:rPr>
      <w:rFonts w:ascii="Fira Sans Light" w:eastAsiaTheme="minorEastAsia" w:hAnsi="Fira Sans Light" w:cs="Segoe UI"/>
      <w:color w:val="000000" w:themeColor="text1"/>
      <w:kern w:val="0"/>
      <w:sz w:val="20"/>
      <w:szCs w:val="20"/>
      <w:lang w:eastAsia="lt-LT"/>
      <w14:ligatures w14:val="none"/>
    </w:rPr>
  </w:style>
  <w:style w:type="character" w:customStyle="1" w:styleId="TekstasDiagrama">
    <w:name w:val="Tekstas Diagrama"/>
    <w:basedOn w:val="Numatytasispastraiposriftas"/>
    <w:link w:val="Tekstas"/>
    <w:rsid w:val="000E0BC3"/>
    <w:rPr>
      <w:rFonts w:ascii="Fira Sans Light" w:eastAsiaTheme="minorEastAsia" w:hAnsi="Fira Sans Light" w:cs="Segoe UI"/>
      <w:color w:val="000000" w:themeColor="text1"/>
      <w:kern w:val="0"/>
      <w:sz w:val="20"/>
      <w:szCs w:val="20"/>
      <w:lang w:eastAsia="lt-LT"/>
      <w14:ligatures w14:val="none"/>
    </w:rPr>
  </w:style>
  <w:style w:type="paragraph" w:customStyle="1" w:styleId="Priedopavadinimas">
    <w:name w:val="Priedo_pavadinimas"/>
    <w:basedOn w:val="Tekstas"/>
    <w:qFormat/>
    <w:rsid w:val="000E0BC3"/>
    <w:pPr>
      <w:spacing w:before="240" w:after="240"/>
      <w:jc w:val="left"/>
    </w:pPr>
    <w:rPr>
      <w:rFonts w:ascii="Fira Sans Book" w:hAnsi="Fira Sans Book"/>
      <w:color w:val="3C6FA2"/>
      <w:sz w:val="26"/>
    </w:rPr>
  </w:style>
  <w:style w:type="paragraph" w:customStyle="1" w:styleId="Punktas1">
    <w:name w:val="Punktas_1"/>
    <w:basedOn w:val="Tekstas"/>
    <w:qFormat/>
    <w:rsid w:val="000E0BC3"/>
    <w:pPr>
      <w:numPr>
        <w:numId w:val="1"/>
      </w:numPr>
      <w:spacing w:before="80"/>
      <w:ind w:left="397" w:hanging="397"/>
    </w:pPr>
    <w:rPr>
      <w:color w:val="000000"/>
    </w:rPr>
  </w:style>
  <w:style w:type="table" w:customStyle="1" w:styleId="Lentelepriedas">
    <w:name w:val="Lentele_priedas"/>
    <w:basedOn w:val="prastojilentel"/>
    <w:uiPriority w:val="99"/>
    <w:qFormat/>
    <w:rsid w:val="005D468F"/>
    <w:pPr>
      <w:spacing w:after="0" w:line="240" w:lineRule="auto"/>
    </w:pPr>
    <w:rPr>
      <w:rFonts w:ascii="Segoe UI" w:eastAsiaTheme="minorEastAsia" w:hAnsi="Segoe UI" w:cs="Times New Roman"/>
      <w:color w:val="000000"/>
      <w:kern w:val="0"/>
      <w:sz w:val="16"/>
      <w:szCs w:val="20"/>
      <w:lang w:eastAsia="lt-LT"/>
      <w14:ligatures w14:val="none"/>
    </w:rPr>
    <w:tblPr>
      <w:tblBorders>
        <w:top w:val="single" w:sz="4" w:space="0" w:color="004B7E"/>
        <w:left w:val="single" w:sz="4" w:space="0" w:color="004B7E"/>
        <w:bottom w:val="single" w:sz="4" w:space="0" w:color="004B7E"/>
        <w:right w:val="single" w:sz="4" w:space="0" w:color="004B7E"/>
        <w:insideH w:val="single" w:sz="4" w:space="0" w:color="004B7E"/>
        <w:insideV w:val="single" w:sz="4" w:space="0" w:color="004B7E"/>
      </w:tblBorders>
    </w:tbl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Segoe UI" w:hAnsi="Segoe UI"/>
        <w:b w:val="0"/>
        <w:i w:val="0"/>
        <w:color w:val="004B7E"/>
        <w:sz w:val="16"/>
      </w:rPr>
      <w:tblPr/>
      <w:tcPr>
        <w:tcBorders>
          <w:top w:val="single" w:sz="4" w:space="0" w:color="004B7E"/>
          <w:left w:val="single" w:sz="4" w:space="0" w:color="004B7E"/>
          <w:bottom w:val="single" w:sz="4" w:space="0" w:color="004B7E"/>
          <w:right w:val="single" w:sz="4" w:space="0" w:color="004B7E"/>
          <w:insideH w:val="nil"/>
          <w:insideV w:val="single" w:sz="4" w:space="0" w:color="004B7E"/>
          <w:tl2br w:val="nil"/>
          <w:tr2bl w:val="nil"/>
        </w:tcBorders>
      </w:tcPr>
    </w:tblStylePr>
  </w:style>
  <w:style w:type="table" w:styleId="Lentelstinklelis">
    <w:name w:val="Table Grid"/>
    <w:basedOn w:val="prastojilentel"/>
    <w:uiPriority w:val="39"/>
    <w:rsid w:val="008A13AE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numeruotaantraste">
    <w:name w:val="Nenumeruota_antraste"/>
    <w:basedOn w:val="Turinys4"/>
    <w:qFormat/>
    <w:rsid w:val="008A13AE"/>
    <w:pPr>
      <w:keepNext/>
      <w:tabs>
        <w:tab w:val="left" w:pos="1588"/>
        <w:tab w:val="right" w:pos="7938"/>
      </w:tabs>
      <w:spacing w:before="480" w:after="360" w:line="288" w:lineRule="auto"/>
      <w:ind w:left="0"/>
      <w:outlineLvl w:val="2"/>
    </w:pPr>
    <w:rPr>
      <w:rFonts w:ascii="Fira Sans Book" w:eastAsiaTheme="minorEastAsia" w:hAnsi="Fira Sans Book" w:cs="Segoe UI"/>
      <w:noProof/>
      <w:color w:val="3C6FA2"/>
      <w:kern w:val="0"/>
      <w:sz w:val="24"/>
      <w:szCs w:val="20"/>
      <w:lang w:eastAsia="lt-LT"/>
      <w14:ligatures w14:val="none"/>
    </w:rPr>
  </w:style>
  <w:style w:type="paragraph" w:styleId="Turinys4">
    <w:name w:val="toc 4"/>
    <w:basedOn w:val="prastasis"/>
    <w:next w:val="prastasis"/>
    <w:autoRedefine/>
    <w:uiPriority w:val="39"/>
    <w:semiHidden/>
    <w:unhideWhenUsed/>
    <w:rsid w:val="008A13AE"/>
    <w:pPr>
      <w:spacing w:after="100"/>
      <w:ind w:left="660"/>
    </w:pPr>
  </w:style>
  <w:style w:type="table" w:customStyle="1" w:styleId="Lentelesnaujos">
    <w:name w:val="Lenteles_naujos"/>
    <w:basedOn w:val="prastojilentel"/>
    <w:uiPriority w:val="99"/>
    <w:rsid w:val="00152D54"/>
    <w:pPr>
      <w:spacing w:before="40" w:after="40" w:line="240" w:lineRule="auto"/>
      <w:jc w:val="center"/>
    </w:pPr>
    <w:rPr>
      <w:rFonts w:ascii="Fira Sans Light" w:eastAsiaTheme="minorEastAsia" w:hAnsi="Fira Sans Light" w:cs="Times New Roman"/>
      <w:kern w:val="0"/>
      <w:sz w:val="18"/>
      <w:szCs w:val="20"/>
      <w:lang w:eastAsia="lt-LT"/>
      <w14:ligatures w14:val="none"/>
    </w:rPr>
    <w:tblPr>
      <w:tblStyleRowBandSize w:val="1"/>
      <w:tblBorders>
        <w:top w:val="single" w:sz="4" w:space="0" w:color="3C6FA2"/>
        <w:bottom w:val="single" w:sz="4" w:space="0" w:color="3C6FA2"/>
        <w:insideH w:val="single" w:sz="4" w:space="0" w:color="3C6FA2"/>
      </w:tblBorders>
    </w:tblPr>
    <w:tblStylePr w:type="firstRow">
      <w:pPr>
        <w:jc w:val="center"/>
      </w:pPr>
      <w:rPr>
        <w:rFonts w:ascii="Fira Sans Book" w:hAnsi="Fira Sans Book"/>
        <w:b w:val="0"/>
        <w:color w:val="1469AA"/>
        <w:sz w:val="20"/>
      </w:rPr>
      <w:tblPr/>
      <w:tcPr>
        <w:tcBorders>
          <w:top w:val="single" w:sz="4" w:space="0" w:color="3C6FA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3C6FA2"/>
          <w:right w:val="nil"/>
          <w:insideH w:val="nil"/>
          <w:insideV w:val="nil"/>
        </w:tcBorders>
      </w:tcPr>
    </w:tblStylePr>
    <w:tblStylePr w:type="firstCol">
      <w:pPr>
        <w:wordWrap/>
        <w:spacing w:beforeLines="0" w:before="20" w:beforeAutospacing="0" w:afterLines="0" w:after="2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Fira Sans Light" w:hAnsi="Fira Sans Light"/>
        <w:sz w:val="16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76ED36C6597084DA00CA5599C8121A2" ma:contentTypeVersion="16" ma:contentTypeDescription="Kurkite naują dokumentą." ma:contentTypeScope="" ma:versionID="a05bb7488400c11bf674b5c7b0e559a7">
  <xsd:schema xmlns:xsd="http://www.w3.org/2001/XMLSchema" xmlns:xs="http://www.w3.org/2001/XMLSchema" xmlns:p="http://schemas.microsoft.com/office/2006/metadata/properties" xmlns:ns2="43b2f13c-f70d-4c6e-b5f7-9e2ccba023ba" xmlns:ns3="2ff60ae3-5684-4ad4-b6f7-bf4e4bec136e" targetNamespace="http://schemas.microsoft.com/office/2006/metadata/properties" ma:root="true" ma:fieldsID="8fba942a79935e45c59cb59df3c33880" ns2:_="" ns3:_="">
    <xsd:import namespace="43b2f13c-f70d-4c6e-b5f7-9e2ccba023ba"/>
    <xsd:import namespace="2ff60ae3-5684-4ad4-b6f7-bf4e4bec1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2f13c-f70d-4c6e-b5f7-9e2ccba02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d2df5aa5-79f2-496f-895d-621c3e445b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60ae3-5684-4ad4-b6f7-bf4e4bec1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90cc82-75ad-4204-a209-4e4bb03cf38e}" ma:internalName="TaxCatchAll" ma:showField="CatchAllData" ma:web="2ff60ae3-5684-4ad4-b6f7-bf4e4bec1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2f13c-f70d-4c6e-b5f7-9e2ccba023ba">
      <Terms xmlns="http://schemas.microsoft.com/office/infopath/2007/PartnerControls"/>
    </lcf76f155ced4ddcb4097134ff3c332f>
    <TaxCatchAll xmlns="2ff60ae3-5684-4ad4-b6f7-bf4e4bec136e" xsi:nil="true"/>
  </documentManagement>
</p:properties>
</file>

<file path=customXml/itemProps1.xml><?xml version="1.0" encoding="utf-8"?>
<ds:datastoreItem xmlns:ds="http://schemas.openxmlformats.org/officeDocument/2006/customXml" ds:itemID="{BE8CB3B6-8D78-4421-9096-6427BEB08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75704-EE20-4CF2-87D5-B6631ED72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2f13c-f70d-4c6e-b5f7-9e2ccba023ba"/>
    <ds:schemaRef ds:uri="2ff60ae3-5684-4ad4-b6f7-bf4e4bec1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642389-9E24-45F7-BDD5-42F3DBB365B1}">
  <ds:schemaRefs>
    <ds:schemaRef ds:uri="http://schemas.microsoft.com/office/2006/metadata/properties"/>
    <ds:schemaRef ds:uri="http://schemas.microsoft.com/office/infopath/2007/PartnerControls"/>
    <ds:schemaRef ds:uri="43b2f13c-f70d-4c6e-b5f7-9e2ccba023ba"/>
    <ds:schemaRef ds:uri="2ff60ae3-5684-4ad4-b6f7-bf4e4bec136e"/>
  </ds:schemaRefs>
</ds:datastoreItem>
</file>

<file path=docMetadata/LabelInfo.xml><?xml version="1.0" encoding="utf-8"?>
<clbl:labelList xmlns:clbl="http://schemas.microsoft.com/office/2020/mipLabelMetadata">
  <clbl:label id="{c726ada4-eee0-43ea-be57-397a438ff30f}" enabled="1" method="Standard" siteId="{3ff45aa8-20e5-4053-a803-dbc4b63d971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1883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Raglienė</dc:creator>
  <cp:keywords/>
  <dc:description/>
  <cp:lastModifiedBy>IMD</cp:lastModifiedBy>
  <cp:revision>4</cp:revision>
  <dcterms:created xsi:type="dcterms:W3CDTF">2025-05-12T06:54:00Z</dcterms:created>
  <dcterms:modified xsi:type="dcterms:W3CDTF">2025-05-12T06:54:00Z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0x010100D76ED36C6597084DA00CA5599C8121A2</vt:lpwstr>
  </property>
</Properties>
</file>